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99" w:rsidRPr="00D455FF" w:rsidRDefault="0013057B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color w:val="FFFFFF" w:themeColor="background1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ab/>
      </w:r>
      <w:r w:rsidRPr="00D455FF">
        <w:rPr>
          <w:rFonts w:ascii="Arial CYR" w:hAnsi="Arial CYR" w:cs="Arial CYR"/>
          <w:b/>
          <w:color w:val="FFFFFF" w:themeColor="background1"/>
          <w:sz w:val="20"/>
          <w:szCs w:val="20"/>
          <w:lang w:val="sr-Cyrl-RS"/>
        </w:rPr>
        <w:t>Н  А  Ц  Р  Т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На основу члана 33. став 1. и члана 36. став 1. Закона о јавном дугу („Службени гласник Републике Србије", бр. 61/05, 107/09, 78/11, 68/15, 95/18, 91/19 и 149/20), члана 32. став 1 тачка 15. и члана 66. став 3. Закона о локалној самоуправи („Службени гласник Републике Србије", бр. 129/07, 83/14 - др. закон, 101/16 - др. закон</w:t>
      </w:r>
      <w:r w:rsidR="00E71199" w:rsidRPr="006540B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47/18</w:t>
      </w:r>
      <w:r w:rsidR="00E71199"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и 111/21 - др. закон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), Мишљења Министарства финансија бр. 401-00-0</w:t>
      </w:r>
      <w:r w:rsidR="00CD75A5" w:rsidRPr="006540B0">
        <w:rPr>
          <w:rFonts w:ascii="Times New Roman" w:hAnsi="Times New Roman" w:cs="Times New Roman"/>
          <w:sz w:val="24"/>
          <w:szCs w:val="24"/>
          <w:lang w:val="sr-Latn-RS"/>
        </w:rPr>
        <w:t>1082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CD75A5" w:rsidRPr="006540B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-03 од </w:t>
      </w:r>
      <w:r w:rsidR="00CD75A5" w:rsidRPr="006540B0">
        <w:rPr>
          <w:rFonts w:ascii="Times New Roman" w:hAnsi="Times New Roman" w:cs="Times New Roman"/>
          <w:sz w:val="24"/>
          <w:szCs w:val="24"/>
          <w:lang w:val="sr-Latn-RS"/>
        </w:rPr>
        <w:t>07.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D75A5" w:rsidRPr="006540B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CD75A5" w:rsidRPr="006540B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 године и члана 37. став 1. тачка 15. Статута Града Ниша („Службени лист Града Ниша", бр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88/08, 143/16 и 18/19), </w:t>
      </w:r>
    </w:p>
    <w:p w:rsidR="002B317D" w:rsidRPr="006540B0" w:rsidRDefault="002B317D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на седници одржаној дана </w:t>
      </w:r>
      <w:r w:rsidR="0077651C"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549EE" w:rsidRPr="006540B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године, дон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оси</w:t>
      </w:r>
    </w:p>
    <w:p w:rsidR="002B317D" w:rsidRPr="006540B0" w:rsidRDefault="002B317D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о рефинансирању кредита Града Ниша</w:t>
      </w:r>
    </w:p>
    <w:p w:rsidR="002B317D" w:rsidRPr="006540B0" w:rsidRDefault="002B317D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Град Ниш ће се задужити у</w:t>
      </w:r>
      <w:r w:rsidRPr="006540B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до </w:t>
      </w:r>
      <w:r w:rsidR="0019478D" w:rsidRPr="006540B0">
        <w:rPr>
          <w:rFonts w:ascii="Times New Roman" w:hAnsi="Times New Roman" w:cs="Times New Roman"/>
          <w:sz w:val="24"/>
          <w:szCs w:val="24"/>
          <w:lang w:val="sr-Cyrl-CS"/>
        </w:rPr>
        <w:t>48</w:t>
      </w:r>
      <w:r w:rsidR="003D4049" w:rsidRPr="006540B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6540B0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.000,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00 динара за рефинансирање кредита  који су узети код банака и то: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B3841" w:rsidRPr="006540B0" w:rsidRDefault="00641EA5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>IK Banka</w:t>
      </w:r>
      <w:r w:rsidR="001B3841"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003E0"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>A.D. Beograd</w:t>
      </w:r>
    </w:p>
    <w:p w:rsidR="002B317D" w:rsidRPr="006540B0" w:rsidRDefault="002B317D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3841" w:rsidRPr="006540B0" w:rsidRDefault="00E71199" w:rsidP="0067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B317D" w:rsidRPr="006540B0">
        <w:rPr>
          <w:rFonts w:ascii="Times New Roman" w:hAnsi="Times New Roman" w:cs="Times New Roman"/>
          <w:sz w:val="24"/>
          <w:szCs w:val="24"/>
          <w:lang w:val="sr-Cyrl-RS"/>
        </w:rPr>
        <w:t>уговор о дугорочном</w:t>
      </w:r>
      <w:r w:rsidR="003D4049"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1400" w:rsidRPr="006540B0">
        <w:rPr>
          <w:rFonts w:ascii="Times New Roman" w:hAnsi="Times New Roman" w:cs="Times New Roman"/>
          <w:sz w:val="24"/>
          <w:szCs w:val="24"/>
          <w:lang w:val="sr-Cyrl-RS"/>
        </w:rPr>
        <w:t>наменском кредиту бр:</w:t>
      </w:r>
      <w:r w:rsidR="001A0D9F" w:rsidRPr="0065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105010845802917496 </w:t>
      </w:r>
      <w:r w:rsidR="00CE1400" w:rsidRPr="006540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који 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>доспева</w:t>
      </w:r>
      <w:r w:rsidR="001B3841" w:rsidRPr="006540B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B3841" w:rsidRPr="006540B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4734F1" w:rsidRPr="006540B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>.2025. године,</w:t>
      </w:r>
    </w:p>
    <w:p w:rsidR="005E67DE" w:rsidRPr="006540B0" w:rsidRDefault="005E67DE" w:rsidP="0067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E1400" w:rsidRPr="006540B0" w:rsidRDefault="00AE7E38" w:rsidP="006776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>Unicredit</w:t>
      </w:r>
      <w:r w:rsidR="001B3841"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Bank</w:t>
      </w:r>
      <w:r w:rsidR="001B3841" w:rsidRPr="006540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B3841" w:rsidRPr="006540B0">
        <w:rPr>
          <w:rFonts w:ascii="Times New Roman" w:hAnsi="Times New Roman" w:cs="Times New Roman"/>
          <w:b/>
          <w:sz w:val="24"/>
          <w:szCs w:val="24"/>
        </w:rPr>
        <w:t>Srbija A</w:t>
      </w:r>
      <w:r w:rsidR="004B6DD5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="001B3841" w:rsidRPr="006540B0">
        <w:rPr>
          <w:rFonts w:ascii="Times New Roman" w:hAnsi="Times New Roman" w:cs="Times New Roman"/>
          <w:b/>
          <w:sz w:val="24"/>
          <w:szCs w:val="24"/>
        </w:rPr>
        <w:t>D</w:t>
      </w:r>
      <w:r w:rsidR="004B6DD5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="001B3841" w:rsidRPr="00654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0B0">
        <w:rPr>
          <w:rFonts w:ascii="Times New Roman" w:hAnsi="Times New Roman" w:cs="Times New Roman"/>
          <w:b/>
          <w:sz w:val="24"/>
          <w:szCs w:val="24"/>
        </w:rPr>
        <w:t>Beograd</w:t>
      </w:r>
      <w:r w:rsidR="00BC0F19" w:rsidRPr="00654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17D" w:rsidRPr="006540B0" w:rsidRDefault="002B317D" w:rsidP="0067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3841" w:rsidRPr="006540B0" w:rsidRDefault="00E71199" w:rsidP="0067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1400" w:rsidRPr="006540B0">
        <w:rPr>
          <w:rFonts w:ascii="Times New Roman" w:hAnsi="Times New Roman" w:cs="Times New Roman"/>
          <w:sz w:val="24"/>
          <w:szCs w:val="24"/>
          <w:lang w:val="sr-Cyrl-RS"/>
        </w:rPr>
        <w:t>уговор о дугорочном инвестиционом кредиту бр</w:t>
      </w:r>
      <w:r w:rsidR="00CE1400" w:rsidRPr="006540B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C6215" w:rsidRPr="006540B0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CE1400" w:rsidRPr="006540B0">
        <w:rPr>
          <w:rFonts w:ascii="Times New Roman" w:hAnsi="Times New Roman" w:cs="Times New Roman"/>
          <w:sz w:val="24"/>
          <w:szCs w:val="24"/>
          <w:lang w:val="sr-Cyrl-CS"/>
        </w:rPr>
        <w:t>1879/15 који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доспева</w:t>
      </w:r>
      <w:r w:rsidR="001B3841" w:rsidRPr="006540B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02F3C" w:rsidRPr="006540B0">
        <w:rPr>
          <w:rFonts w:ascii="Times New Roman" w:hAnsi="Times New Roman" w:cs="Times New Roman"/>
          <w:sz w:val="24"/>
          <w:szCs w:val="24"/>
          <w:lang w:val="sr-Latn-CS"/>
        </w:rPr>
        <w:t>29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C02F3C" w:rsidRPr="006540B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1B3841" w:rsidRPr="006540B0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1B3841" w:rsidRPr="006540B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CE1400" w:rsidRPr="006540B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E67DE" w:rsidRPr="006540B0" w:rsidRDefault="005E67DE" w:rsidP="0067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64949" w:rsidRPr="006540B0" w:rsidRDefault="00E64949" w:rsidP="006776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>Unicredit</w:t>
      </w:r>
      <w:r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Bank</w:t>
      </w:r>
      <w:r w:rsidRPr="006540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540B0">
        <w:rPr>
          <w:rFonts w:ascii="Times New Roman" w:hAnsi="Times New Roman" w:cs="Times New Roman"/>
          <w:b/>
          <w:sz w:val="24"/>
          <w:szCs w:val="24"/>
        </w:rPr>
        <w:t>Srbija A</w:t>
      </w:r>
      <w:r w:rsidR="004B6DD5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>D</w:t>
      </w:r>
      <w:r w:rsidR="004B6DD5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 xml:space="preserve"> Beograd </w:t>
      </w:r>
    </w:p>
    <w:p w:rsidR="002B317D" w:rsidRPr="006540B0" w:rsidRDefault="002B317D" w:rsidP="0067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1B3841" w:rsidRPr="006540B0" w:rsidRDefault="00E71199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1400" w:rsidRPr="006540B0">
        <w:rPr>
          <w:rFonts w:ascii="Times New Roman" w:hAnsi="Times New Roman" w:cs="Times New Roman"/>
          <w:sz w:val="24"/>
          <w:szCs w:val="24"/>
          <w:lang w:val="sr-Cyrl-RS"/>
        </w:rPr>
        <w:t>уговор о дугорочном инвестиционом кредиту бр</w:t>
      </w:r>
      <w:r w:rsidR="00CE1400" w:rsidRPr="006540B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C6215" w:rsidRPr="006540B0">
        <w:rPr>
          <w:rFonts w:ascii="Times New Roman" w:hAnsi="Times New Roman" w:cs="Times New Roman"/>
          <w:sz w:val="24"/>
          <w:szCs w:val="24"/>
          <w:lang w:val="sr-Latn-RS"/>
        </w:rPr>
        <w:t>RL</w:t>
      </w:r>
      <w:r w:rsidR="00CE1400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0279/16 који доспева </w:t>
      </w:r>
      <w:r w:rsidR="00E64949" w:rsidRPr="006540B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F27CC" w:rsidRPr="006540B0">
        <w:rPr>
          <w:rFonts w:ascii="Times New Roman" w:hAnsi="Times New Roman" w:cs="Times New Roman"/>
          <w:sz w:val="24"/>
          <w:szCs w:val="24"/>
          <w:lang w:val="sr-Latn-CS"/>
        </w:rPr>
        <w:t>07</w:t>
      </w:r>
      <w:r w:rsidR="00E64949" w:rsidRPr="006540B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F27CC" w:rsidRPr="006540B0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64949" w:rsidRPr="006540B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64949" w:rsidRPr="006540B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27CC" w:rsidRPr="006540B0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E64949" w:rsidRPr="006540B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71199" w:rsidRPr="006540B0" w:rsidRDefault="00E71199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ab/>
        <w:t>Рефинансирањем кредита продужиће се рок отплате главнице кредита и то по нижој каматној стопи у односу на каматну стопу којом се кредити из члана 1. ове одлуке отплаћују, са грејс периодом од годину дана.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Овлашћује се Градска управа за финансије 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да у складу са овом Одлуком и другим прописима изабере</w:t>
      </w:r>
      <w:r w:rsidR="002B317D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банку која ће да понуди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најповољнију </w:t>
      </w:r>
      <w:r w:rsidR="002B317D" w:rsidRPr="006540B0">
        <w:rPr>
          <w:rFonts w:ascii="Times New Roman" w:hAnsi="Times New Roman" w:cs="Times New Roman"/>
          <w:sz w:val="24"/>
          <w:szCs w:val="24"/>
          <w:lang w:val="sr-Cyrl-RS"/>
        </w:rPr>
        <w:t>каматну стопу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за рефинансирање кредита из члана 1. ове одлуке и да о избору </w:t>
      </w:r>
      <w:r w:rsidR="002B317D" w:rsidRPr="006540B0">
        <w:rPr>
          <w:rFonts w:ascii="Times New Roman" w:hAnsi="Times New Roman" w:cs="Times New Roman"/>
          <w:sz w:val="24"/>
          <w:szCs w:val="24"/>
          <w:lang w:val="sr-Cyrl-RS"/>
        </w:rPr>
        <w:t>банке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градоначелника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Ниша, а градоначелник Града Ниша се овлашћује да након пријема обавештење о избору најповољније понуде предузме све радње које су потребне за коначну реализацију </w:t>
      </w:r>
      <w:r w:rsidR="00592614" w:rsidRPr="006540B0">
        <w:rPr>
          <w:rFonts w:ascii="Times New Roman" w:hAnsi="Times New Roman" w:cs="Times New Roman"/>
          <w:sz w:val="24"/>
          <w:szCs w:val="24"/>
          <w:lang w:val="sr-Cyrl-RS"/>
        </w:rPr>
        <w:t>ове О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длуке.</w:t>
      </w:r>
    </w:p>
    <w:p w:rsidR="00E71199" w:rsidRPr="006540B0" w:rsidRDefault="00592614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</w:t>
      </w:r>
      <w:r w:rsidR="00E71199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радска управа за финансије ће пре </w:t>
      </w:r>
      <w:r w:rsidR="002B317D" w:rsidRPr="006540B0">
        <w:rPr>
          <w:rFonts w:ascii="Times New Roman" w:hAnsi="Times New Roman" w:cs="Times New Roman"/>
          <w:sz w:val="24"/>
          <w:szCs w:val="24"/>
          <w:lang w:val="sr-Cyrl-CS"/>
        </w:rPr>
        <w:t>потписивања уговора са изабраном банком</w:t>
      </w:r>
      <w:r w:rsidR="00E71199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утврдити тачан износ кредита који ће се рефинансирати, а који не може бити већи од износа наведеног у ставу 1. ове Одлуке.</w:t>
      </w:r>
    </w:p>
    <w:p w:rsidR="00E71199" w:rsidRPr="006540B0" w:rsidRDefault="00E71199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</w:t>
      </w:r>
      <w:r w:rsidR="005E67DE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ног дана од дана објављивања у 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Службеном</w:t>
      </w:r>
      <w:r w:rsidR="005E67DE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листу Града Ниша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5095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У Нишу, </w:t>
      </w:r>
      <w:r w:rsidR="00E71199" w:rsidRPr="006540B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1199" w:rsidRPr="006540B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CC5095" w:rsidRPr="006540B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41" w:rsidRPr="006540B0" w:rsidRDefault="001B3841" w:rsidP="0067761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1B3841" w:rsidRPr="006540B0" w:rsidRDefault="001B3841" w:rsidP="00677616">
      <w:pPr>
        <w:suppressLineNumbers/>
        <w:tabs>
          <w:tab w:val="center" w:pos="780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1199" w:rsidRPr="006540B0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71199" w:rsidRPr="006540B0" w:rsidRDefault="00E71199" w:rsidP="00677616">
      <w:pPr>
        <w:suppressLineNumbers/>
        <w:tabs>
          <w:tab w:val="center" w:pos="780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0B0" w:rsidRPr="006540B0" w:rsidRDefault="006540B0" w:rsidP="00677616">
      <w:pPr>
        <w:suppressLineNumbers/>
        <w:tabs>
          <w:tab w:val="center" w:pos="780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3841" w:rsidRPr="006540B0" w:rsidRDefault="001B3841" w:rsidP="00677616">
      <w:pPr>
        <w:suppressLineNumbers/>
        <w:tabs>
          <w:tab w:val="center" w:pos="780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       </w:t>
      </w:r>
      <w:r w:rsidR="00E71199" w:rsidRPr="006540B0">
        <w:rPr>
          <w:rFonts w:ascii="Times New Roman" w:hAnsi="Times New Roman" w:cs="Times New Roman"/>
          <w:sz w:val="24"/>
          <w:szCs w:val="24"/>
          <w:lang w:val="sr-Cyrl-CS"/>
        </w:rPr>
        <w:t>др Бобан Џунић</w:t>
      </w:r>
    </w:p>
    <w:p w:rsidR="006540B0" w:rsidRP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0B0" w:rsidRDefault="006540B0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8D2" w:rsidRPr="006540B0" w:rsidRDefault="009208D2" w:rsidP="0067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0B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Њ</w:t>
      </w:r>
      <w:r w:rsidR="00677616"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9208D2" w:rsidRPr="006540B0" w:rsidRDefault="009208D2" w:rsidP="0067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Правни основ за доношење Одлуке о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рефинансирању кредита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Града Ниша (у даљем тексту: Одлука) садржан је у одредбама члана 33.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члана 36.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1. Закона о јавном дугу („Службени гласник Републике Србије“, број: 61/05, 107/2009, 78/11, 68/15, 95/18, 91/19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149/20)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члана 32.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15. Закона о локалној самоуправи („Службени гласник Републике Србије", бр. 129/07, 83/14 - др. закон, 101/16 - др. закон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47/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54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111/21 - др. закон)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члана 37.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Статута Града Ниша („Службени лист Града Ниша“, бр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88/08, 143/16 и 18/19) којима је утврђена могућност да се локалне власти могу задуживати ради рефинансирања кредита узетих код банака по претходно прибављеном Мишљењу надлежног министарства.</w:t>
      </w:r>
      <w:proofErr w:type="gramEnd"/>
    </w:p>
    <w:p w:rsidR="00A42393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 Ниш и </w:t>
      </w:r>
      <w:r w:rsidRPr="006540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6540B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IK Banka</w:t>
      </w:r>
      <w:r w:rsidR="00240A82" w:rsidRPr="006540B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A.D. Beograd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закључили су </w:t>
      </w:r>
      <w:r w:rsidR="00A42393"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говор о дугорочном 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наменском кредиту бр:</w:t>
      </w:r>
      <w:r w:rsidRPr="0065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105010845802917496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12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11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.2015.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године, којим је банка одобрила Граду Нишу кредит</w:t>
      </w:r>
      <w:r w:rsidR="00A42393"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A42393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 Ниш и</w:t>
      </w: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Unicredit</w:t>
      </w:r>
      <w:r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Bank</w:t>
      </w:r>
      <w:r w:rsidRPr="006540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540B0">
        <w:rPr>
          <w:rFonts w:ascii="Times New Roman" w:hAnsi="Times New Roman" w:cs="Times New Roman"/>
          <w:b/>
          <w:sz w:val="24"/>
          <w:szCs w:val="24"/>
        </w:rPr>
        <w:t>Srbija A</w:t>
      </w:r>
      <w:r w:rsidR="00240A82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>D</w:t>
      </w:r>
      <w:r w:rsidR="00240A82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 xml:space="preserve"> Beograd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закључили су 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RS"/>
        </w:rPr>
        <w:t>уговор о дугорочном инвестиционом кредиту бр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540B0">
        <w:rPr>
          <w:rFonts w:ascii="Times New Roman" w:eastAsia="Calibri" w:hAnsi="Times New Roman" w:cs="Times New Roman"/>
          <w:sz w:val="24"/>
          <w:szCs w:val="24"/>
          <w:lang w:val="sr-Latn-RS"/>
        </w:rPr>
        <w:t>R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1879/15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од 0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.0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.2015.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године, којим је банка одобрила Граду Нишу кредит</w:t>
      </w:r>
      <w:r w:rsidR="00A42393"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 Ниш и</w:t>
      </w: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Unicredit</w:t>
      </w:r>
      <w:r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Bank</w:t>
      </w:r>
      <w:r w:rsidRPr="006540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540B0">
        <w:rPr>
          <w:rFonts w:ascii="Times New Roman" w:hAnsi="Times New Roman" w:cs="Times New Roman"/>
          <w:b/>
          <w:sz w:val="24"/>
          <w:szCs w:val="24"/>
        </w:rPr>
        <w:t>Srbija A</w:t>
      </w:r>
      <w:r w:rsidR="00240A82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>D</w:t>
      </w:r>
      <w:r w:rsidR="00240A82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 xml:space="preserve"> Beograd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закључили су 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RS"/>
        </w:rPr>
        <w:t>уговор о дугорочном инвестиционом кредиту бр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Pr="006540B0">
        <w:rPr>
          <w:rFonts w:ascii="Times New Roman" w:eastAsia="Calibri" w:hAnsi="Times New Roman" w:cs="Times New Roman"/>
          <w:sz w:val="24"/>
          <w:szCs w:val="24"/>
          <w:lang w:val="sr-Latn-RS"/>
        </w:rPr>
        <w:t>RL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0279/16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од 0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.0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.201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године, којим је банка одобрила Граду Нишу кредит</w:t>
      </w:r>
      <w:r w:rsidR="00A42393"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9208D2" w:rsidRPr="006540B0" w:rsidRDefault="009208D2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Министарство финансија Републике Србије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актом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бр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401-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00-010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82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/202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-03 од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07.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фебруара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на основу упућеног захтева Града Ниша, одобрило задуживање за рефинансирање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кредита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Града Ниша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узетих код банака:</w:t>
      </w:r>
    </w:p>
    <w:p w:rsidR="009208D2" w:rsidRPr="006540B0" w:rsidRDefault="009208D2" w:rsidP="0067761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08D2" w:rsidRPr="006540B0" w:rsidRDefault="009208D2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>IK Banka</w:t>
      </w:r>
      <w:r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837128"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>A.D.Beograd</w:t>
      </w:r>
    </w:p>
    <w:p w:rsidR="009208D2" w:rsidRPr="006540B0" w:rsidRDefault="009208D2" w:rsidP="0067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уговор о дугорочном наменском кредиту бр:</w:t>
      </w:r>
      <w:r w:rsidRPr="006540B0">
        <w:rPr>
          <w:rFonts w:ascii="Times New Roman" w:eastAsia="Times New Roman" w:hAnsi="Times New Roman" w:cs="Times New Roman"/>
          <w:color w:val="000000"/>
          <w:sz w:val="24"/>
          <w:szCs w:val="24"/>
        </w:rPr>
        <w:t>105010845802917496</w:t>
      </w:r>
      <w:r w:rsidR="003D4049" w:rsidRPr="006540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преостали износ кредита је 1.</w:t>
      </w:r>
      <w:r w:rsidR="003D4049" w:rsidRPr="006540B0">
        <w:rPr>
          <w:rFonts w:ascii="Times New Roman" w:hAnsi="Times New Roman" w:cs="Times New Roman"/>
          <w:sz w:val="24"/>
          <w:szCs w:val="24"/>
        </w:rPr>
        <w:t>145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4049" w:rsidRPr="006540B0">
        <w:rPr>
          <w:rFonts w:ascii="Times New Roman" w:hAnsi="Times New Roman" w:cs="Times New Roman"/>
          <w:sz w:val="24"/>
          <w:szCs w:val="24"/>
        </w:rPr>
        <w:t>833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4049" w:rsidRPr="006540B0">
        <w:rPr>
          <w:rFonts w:ascii="Times New Roman" w:hAnsi="Times New Roman" w:cs="Times New Roman"/>
          <w:sz w:val="24"/>
          <w:szCs w:val="24"/>
        </w:rPr>
        <w:t>31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4049" w:rsidRPr="006540B0">
        <w:rPr>
          <w:rFonts w:ascii="Times New Roman" w:hAnsi="Times New Roman" w:cs="Times New Roman"/>
          <w:sz w:val="24"/>
          <w:szCs w:val="24"/>
        </w:rPr>
        <w:t>EUR-a ,</w:t>
      </w:r>
      <w:r w:rsidRPr="0065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C78" w:rsidRPr="006540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са отплатом до </w:t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.2025. године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>Unicredit</w:t>
      </w:r>
      <w:r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Bank</w:t>
      </w:r>
      <w:r w:rsidRPr="006540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540B0">
        <w:rPr>
          <w:rFonts w:ascii="Times New Roman" w:hAnsi="Times New Roman" w:cs="Times New Roman"/>
          <w:b/>
          <w:sz w:val="24"/>
          <w:szCs w:val="24"/>
        </w:rPr>
        <w:t>Srbija A</w:t>
      </w:r>
      <w:r w:rsidR="00837128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>D</w:t>
      </w:r>
      <w:r w:rsidR="00837128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 xml:space="preserve"> Beograd </w:t>
      </w:r>
    </w:p>
    <w:p w:rsidR="009208D2" w:rsidRPr="006540B0" w:rsidRDefault="009208D2" w:rsidP="0067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уговор о дугорочном инвестиционом кредиту бр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1879/15</w:t>
      </w:r>
      <w:r w:rsidR="003D4049" w:rsidRPr="006540B0">
        <w:rPr>
          <w:rFonts w:ascii="Times New Roman" w:hAnsi="Times New Roman" w:cs="Times New Roman"/>
          <w:sz w:val="24"/>
          <w:szCs w:val="24"/>
        </w:rPr>
        <w:t xml:space="preserve">, 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преостали износ кредита је 1.388.376,84 </w:t>
      </w:r>
      <w:r w:rsidR="003D4049" w:rsidRPr="006540B0">
        <w:rPr>
          <w:rFonts w:ascii="Times New Roman" w:hAnsi="Times New Roman" w:cs="Times New Roman"/>
          <w:sz w:val="24"/>
          <w:szCs w:val="24"/>
        </w:rPr>
        <w:t>EUR-a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1C78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са отплатом до </w:t>
      </w:r>
      <w:r w:rsidRPr="006540B0">
        <w:rPr>
          <w:rFonts w:ascii="Times New Roman" w:hAnsi="Times New Roman" w:cs="Times New Roman"/>
          <w:sz w:val="24"/>
          <w:szCs w:val="24"/>
          <w:lang w:val="sr-Latn-CS"/>
        </w:rPr>
        <w:t>29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B0">
        <w:rPr>
          <w:rFonts w:ascii="Times New Roman" w:hAnsi="Times New Roman" w:cs="Times New Roman"/>
          <w:b/>
          <w:sz w:val="24"/>
          <w:szCs w:val="24"/>
          <w:lang w:val="sr-Latn-RS"/>
        </w:rPr>
        <w:t>Unicredit</w:t>
      </w:r>
      <w:r w:rsidRPr="006540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Bank</w:t>
      </w:r>
      <w:r w:rsidRPr="006540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540B0">
        <w:rPr>
          <w:rFonts w:ascii="Times New Roman" w:hAnsi="Times New Roman" w:cs="Times New Roman"/>
          <w:b/>
          <w:sz w:val="24"/>
          <w:szCs w:val="24"/>
        </w:rPr>
        <w:t>Srbija A</w:t>
      </w:r>
      <w:r w:rsidR="00837128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>D</w:t>
      </w:r>
      <w:r w:rsidR="00837128" w:rsidRPr="006540B0">
        <w:rPr>
          <w:rFonts w:ascii="Times New Roman" w:hAnsi="Times New Roman" w:cs="Times New Roman"/>
          <w:b/>
          <w:sz w:val="24"/>
          <w:szCs w:val="24"/>
        </w:rPr>
        <w:t>.</w:t>
      </w:r>
      <w:r w:rsidRPr="006540B0">
        <w:rPr>
          <w:rFonts w:ascii="Times New Roman" w:hAnsi="Times New Roman" w:cs="Times New Roman"/>
          <w:b/>
          <w:sz w:val="24"/>
          <w:szCs w:val="24"/>
        </w:rPr>
        <w:t xml:space="preserve"> Beograd </w:t>
      </w:r>
    </w:p>
    <w:p w:rsidR="009208D2" w:rsidRPr="006540B0" w:rsidRDefault="009208D2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0B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540B0">
        <w:rPr>
          <w:rFonts w:ascii="Times New Roman" w:hAnsi="Times New Roman" w:cs="Times New Roman"/>
          <w:sz w:val="24"/>
          <w:szCs w:val="24"/>
          <w:lang w:val="sr-Cyrl-RS"/>
        </w:rPr>
        <w:t>уговор о дугорочном инвестиционом кредиту бр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RL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0279/16</w:t>
      </w:r>
      <w:r w:rsidR="003D4049"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преостали износ кредита је 1.514.243,53 </w:t>
      </w:r>
      <w:r w:rsidR="003D4049" w:rsidRPr="006540B0">
        <w:rPr>
          <w:rFonts w:ascii="Times New Roman" w:hAnsi="Times New Roman" w:cs="Times New Roman"/>
          <w:sz w:val="24"/>
          <w:szCs w:val="24"/>
        </w:rPr>
        <w:t>EUR-a</w:t>
      </w:r>
      <w:r w:rsidR="003D4049" w:rsidRPr="006540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1C78" w:rsidRPr="006540B0">
        <w:rPr>
          <w:rFonts w:ascii="Times New Roman" w:hAnsi="Times New Roman" w:cs="Times New Roman"/>
          <w:sz w:val="24"/>
          <w:szCs w:val="24"/>
          <w:lang w:val="sr-Cyrl-RS"/>
        </w:rPr>
        <w:t>са отплатом до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40B0">
        <w:rPr>
          <w:rFonts w:ascii="Times New Roman" w:hAnsi="Times New Roman" w:cs="Times New Roman"/>
          <w:sz w:val="24"/>
          <w:szCs w:val="24"/>
          <w:lang w:val="sr-Latn-CS"/>
        </w:rPr>
        <w:t xml:space="preserve"> 07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6540B0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Pr="006540B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3D4049" w:rsidRPr="006540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21EC" w:rsidRPr="006540B0" w:rsidRDefault="003B21EC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21EC" w:rsidRPr="006540B0" w:rsidRDefault="003B21EC" w:rsidP="006776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Чланом 1.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одлуке, дефинисан је износ кредита којим ће се Град Ниш дугорочно задужити за рефинансирање кредита који доспевају по редовним плановима отплате.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Чланом 2.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одлуке, утврђено је да ће се рефинансирање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кредита продужити рок отплате главнице кредита и то по нижој каматној стопи у односу на каматну стопу којом се кредити из члана 1. ове одлуке отплаћују, са грејс периодом од годину дана.</w:t>
      </w:r>
    </w:p>
    <w:p w:rsidR="009208D2" w:rsidRPr="006540B0" w:rsidRDefault="009208D2" w:rsidP="00677616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Чланом 3.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одлуке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влашћује се Градска управа за финансије да у складу са овом Одлуком и другим прописима изабере најповољнију понуду банке за рефинансирање кредита из члана 1. ове одлуке и да о избору најповољније понуде обавести градоначелника Града Ниша, а градоначелник Града Ниша се овлашћује да након пријема обавештење о избору најповољније понуде предузме све радње које су потребне за коначну реализацију одлуке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Задуживањем ради рефинансирања кредита узетих код пословних банака обједињавају се све досадашње финансијске обавезе у један кредит по повољнијој каматној стопи, чиме се кроз повољније услове отплате остварује уштеда и постиже дугорочна финансијска стабилност и равнотежа, а што  ће допринети  релаксацији буџета.</w:t>
      </w:r>
    </w:p>
    <w:p w:rsidR="009208D2" w:rsidRPr="006540B0" w:rsidRDefault="009208D2" w:rsidP="0067761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>Имајући у виду обавез</w:t>
      </w:r>
      <w:r w:rsidR="00592614"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2614"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Града Ниша 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FA309C"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тренутка давања мишљења Министарства финансија Републике Србије </w:t>
      </w:r>
      <w:r w:rsidR="00592614"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>измири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рате кредита који ће да се рефинансирају</w:t>
      </w:r>
      <w:r w:rsidR="00FA309C" w:rsidRPr="006540B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 потписивања уговора са банком која је понудила најповољнију каматну стопу за рефинансирање кредита, </w:t>
      </w:r>
      <w:r w:rsidR="00592614"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овлашћује се </w:t>
      </w:r>
      <w:r w:rsidRPr="006540B0">
        <w:rPr>
          <w:rFonts w:ascii="Times New Roman" w:eastAsia="Calibri" w:hAnsi="Times New Roman" w:cs="Times New Roman"/>
          <w:sz w:val="24"/>
          <w:szCs w:val="24"/>
          <w:lang w:val="sr-Cyrl-CS"/>
        </w:rPr>
        <w:t>Градска управа за финансије да пре потписивања уговора утврдити тачан износ кредита који ће се рефинансирати, а који не може бити већи од износа наведеног у ставу 1. ове Одлуке.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Чланом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одлуке, у складу са чланом 196.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4.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 Устава Републике Србије („Службени гласник Републике Србије“, број: 98/06), уређује се питање објављивања и ступања на снагу ове одлуке, односно утврђено је да ова одлука ступа на снагу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наредног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дана од дана објављивања у „Службеном листу Града Ниша“.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Разлог за ступање на снагу наредног дана је рефинансирање кредита у што краћем року, чиме би се оствариле уштеде  и релаксирао буџет. </w:t>
      </w: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0B0">
        <w:rPr>
          <w:rFonts w:ascii="Times New Roman" w:eastAsia="Times New Roman" w:hAnsi="Times New Roman" w:cs="Times New Roman"/>
          <w:sz w:val="24"/>
          <w:szCs w:val="24"/>
        </w:rPr>
        <w:t xml:space="preserve">На основу свега напред наведеног, предлаже се Скупштини Града Ниша да донесе Одлуку о 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рефинансирању кредита Града Ниша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8D2" w:rsidRPr="006540B0" w:rsidRDefault="009208D2" w:rsidP="00677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08D2" w:rsidRPr="006540B0" w:rsidRDefault="009208D2" w:rsidP="00677616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ВД  </w:t>
      </w:r>
      <w:r w:rsidRPr="006540B0">
        <w:rPr>
          <w:rFonts w:ascii="Times New Roman" w:eastAsia="Times New Roman" w:hAnsi="Times New Roman" w:cs="Times New Roman"/>
          <w:sz w:val="24"/>
          <w:szCs w:val="24"/>
        </w:rPr>
        <w:t>НАЧЕЛНИК</w:t>
      </w: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:rsidR="009208D2" w:rsidRPr="006540B0" w:rsidRDefault="009208D2" w:rsidP="0067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1EC" w:rsidRPr="006540B0" w:rsidRDefault="003B21EC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08D2" w:rsidRDefault="009208D2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Нина Илић</w:t>
      </w: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7491" w:rsidRDefault="00C37491" w:rsidP="00677616">
      <w:pPr>
        <w:spacing w:after="0" w:line="240" w:lineRule="auto"/>
        <w:ind w:left="6860" w:firstLine="3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C37491" w:rsidSect="00CC1AD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41"/>
    <w:rsid w:val="00071C78"/>
    <w:rsid w:val="0013057B"/>
    <w:rsid w:val="001814F5"/>
    <w:rsid w:val="0019478D"/>
    <w:rsid w:val="001A0D9F"/>
    <w:rsid w:val="001B3841"/>
    <w:rsid w:val="00240A82"/>
    <w:rsid w:val="002B317D"/>
    <w:rsid w:val="003B21EC"/>
    <w:rsid w:val="003D4049"/>
    <w:rsid w:val="00430CEC"/>
    <w:rsid w:val="004734F1"/>
    <w:rsid w:val="004B6DD5"/>
    <w:rsid w:val="004F586C"/>
    <w:rsid w:val="00553735"/>
    <w:rsid w:val="00592614"/>
    <w:rsid w:val="005E67DE"/>
    <w:rsid w:val="00641EA5"/>
    <w:rsid w:val="006540B0"/>
    <w:rsid w:val="00677616"/>
    <w:rsid w:val="006D4B01"/>
    <w:rsid w:val="00707FF6"/>
    <w:rsid w:val="0077651C"/>
    <w:rsid w:val="00813FE8"/>
    <w:rsid w:val="00837128"/>
    <w:rsid w:val="009208D2"/>
    <w:rsid w:val="009549EE"/>
    <w:rsid w:val="00A42393"/>
    <w:rsid w:val="00A94ABD"/>
    <w:rsid w:val="00AE7E38"/>
    <w:rsid w:val="00BC0F19"/>
    <w:rsid w:val="00C02F3C"/>
    <w:rsid w:val="00C37491"/>
    <w:rsid w:val="00CC5095"/>
    <w:rsid w:val="00CD75A5"/>
    <w:rsid w:val="00CE1400"/>
    <w:rsid w:val="00D003E0"/>
    <w:rsid w:val="00D455FF"/>
    <w:rsid w:val="00DC431F"/>
    <w:rsid w:val="00DF27CC"/>
    <w:rsid w:val="00E64949"/>
    <w:rsid w:val="00E71199"/>
    <w:rsid w:val="00EC6215"/>
    <w:rsid w:val="00F22367"/>
    <w:rsid w:val="00FA309C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16</cp:revision>
  <dcterms:created xsi:type="dcterms:W3CDTF">2022-02-14T11:26:00Z</dcterms:created>
  <dcterms:modified xsi:type="dcterms:W3CDTF">2022-02-22T08:10:00Z</dcterms:modified>
</cp:coreProperties>
</file>