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F6" w:rsidRPr="00833B6C" w:rsidRDefault="000051E8" w:rsidP="00904C65">
      <w:pPr>
        <w:pStyle w:val="NoSpacing"/>
        <w:ind w:firstLine="720"/>
        <w:jc w:val="both"/>
        <w:rPr>
          <w:lang w:val="sr-Latn-RS"/>
        </w:rPr>
      </w:pPr>
      <w:r w:rsidRPr="00833B6C">
        <w:t xml:space="preserve">На основу </w:t>
      </w:r>
      <w:r w:rsidR="001318F0" w:rsidRPr="00833B6C">
        <w:rPr>
          <w:lang w:val="sr-Latn-RS"/>
        </w:rPr>
        <w:t xml:space="preserve"> </w:t>
      </w:r>
      <w:r w:rsidR="002C296E" w:rsidRPr="00833B6C">
        <w:rPr>
          <w:lang w:val="sr-Cyrl-RS"/>
        </w:rPr>
        <w:t>члана</w:t>
      </w:r>
      <w:r w:rsidR="00D917DC" w:rsidRPr="00833B6C">
        <w:rPr>
          <w:lang w:val="sr-Latn-RS"/>
        </w:rPr>
        <w:t xml:space="preserve"> </w:t>
      </w:r>
      <w:r w:rsidR="008505BA" w:rsidRPr="00833B6C">
        <w:rPr>
          <w:lang w:val="sr-Cyrl-RS"/>
        </w:rPr>
        <w:t>37</w:t>
      </w:r>
      <w:r w:rsidR="00F041B5" w:rsidRPr="00833B6C">
        <w:rPr>
          <w:lang w:val="sr-Cyrl-RS"/>
        </w:rPr>
        <w:t>.</w:t>
      </w:r>
      <w:r w:rsidR="006E204F" w:rsidRPr="00833B6C">
        <w:rPr>
          <w:lang w:val="sr-Cyrl-RS"/>
        </w:rPr>
        <w:t xml:space="preserve"> Статута града Ниша („Сл.лист Града Ниша“, бр. 88/2008</w:t>
      </w:r>
      <w:r w:rsidR="006E204F" w:rsidRPr="00833B6C">
        <w:rPr>
          <w:lang w:val="sr-Latn-RS"/>
        </w:rPr>
        <w:t xml:space="preserve">, </w:t>
      </w:r>
      <w:r w:rsidR="006E204F" w:rsidRPr="00833B6C">
        <w:rPr>
          <w:lang w:val="sr-Cyrl-RS"/>
        </w:rPr>
        <w:t>143/2016 и 18/2019)</w:t>
      </w:r>
      <w:r w:rsidR="00951FF6" w:rsidRPr="00833B6C">
        <w:rPr>
          <w:lang w:val="sr-Latn-RS"/>
        </w:rPr>
        <w:t xml:space="preserve">, </w:t>
      </w:r>
    </w:p>
    <w:p w:rsidR="00FE600B" w:rsidRPr="00833B6C" w:rsidRDefault="00FF05B9" w:rsidP="00904C65">
      <w:pPr>
        <w:pStyle w:val="NoSpacing"/>
        <w:ind w:firstLine="720"/>
        <w:jc w:val="both"/>
        <w:rPr>
          <w:lang w:val="sr-Cyrl-RS"/>
        </w:rPr>
      </w:pPr>
      <w:r w:rsidRPr="00833B6C">
        <w:rPr>
          <w:lang w:val="sr-Cyrl-RS"/>
        </w:rPr>
        <w:t>Скупштина</w:t>
      </w:r>
      <w:r w:rsidR="005F0939" w:rsidRPr="00833B6C">
        <w:rPr>
          <w:lang w:val="sr-Cyrl-RS"/>
        </w:rPr>
        <w:t xml:space="preserve"> града Ниша</w:t>
      </w:r>
      <w:r w:rsidR="00833B6C" w:rsidRPr="00833B6C">
        <w:rPr>
          <w:lang w:val="sr-Latn-RS"/>
        </w:rPr>
        <w:t xml:space="preserve"> </w:t>
      </w:r>
      <w:r w:rsidR="00833B6C" w:rsidRPr="00833B6C">
        <w:rPr>
          <w:lang w:val="sr-Cyrl-BA"/>
        </w:rPr>
        <w:t xml:space="preserve">на седници од </w:t>
      </w:r>
      <w:r w:rsidR="005F0939" w:rsidRPr="00833B6C">
        <w:rPr>
          <w:lang w:val="sr-Cyrl-RS"/>
        </w:rPr>
        <w:t xml:space="preserve"> ___________</w:t>
      </w:r>
      <w:r w:rsidR="00D917DC" w:rsidRPr="00833B6C">
        <w:rPr>
          <w:lang w:val="sr-Cyrl-RS"/>
        </w:rPr>
        <w:t xml:space="preserve"> </w:t>
      </w:r>
      <w:r w:rsidR="00E024BB" w:rsidRPr="00833B6C">
        <w:rPr>
          <w:lang w:val="sr-Cyrl-RS"/>
        </w:rPr>
        <w:t>2021</w:t>
      </w:r>
      <w:r w:rsidR="000A448A" w:rsidRPr="00833B6C">
        <w:rPr>
          <w:lang w:val="sr-Cyrl-RS"/>
        </w:rPr>
        <w:t>. године,</w:t>
      </w:r>
      <w:r w:rsidR="00355177" w:rsidRPr="00833B6C">
        <w:t xml:space="preserve"> доноси</w:t>
      </w:r>
    </w:p>
    <w:p w:rsidR="00904C65" w:rsidRPr="00833B6C" w:rsidRDefault="00904C65" w:rsidP="00904C65">
      <w:pPr>
        <w:pStyle w:val="NoSpacing"/>
        <w:ind w:firstLine="720"/>
        <w:jc w:val="both"/>
        <w:rPr>
          <w:lang w:val="sr-Cyrl-RS"/>
        </w:rPr>
      </w:pPr>
    </w:p>
    <w:p w:rsidR="00904C65" w:rsidRPr="00833B6C" w:rsidRDefault="00904C65" w:rsidP="00904C65">
      <w:pPr>
        <w:pStyle w:val="NoSpacing"/>
        <w:ind w:firstLine="720"/>
        <w:jc w:val="both"/>
        <w:rPr>
          <w:lang w:val="sr-Cyrl-RS"/>
        </w:rPr>
      </w:pPr>
    </w:p>
    <w:p w:rsidR="004020D5" w:rsidRPr="00833B6C" w:rsidRDefault="001318F0" w:rsidP="0003410A">
      <w:pPr>
        <w:jc w:val="center"/>
        <w:rPr>
          <w:b/>
          <w:lang w:val="sr-Latn-RS"/>
        </w:rPr>
      </w:pPr>
      <w:r w:rsidRPr="00833B6C">
        <w:rPr>
          <w:b/>
          <w:lang w:val="sr-Cyrl-CS"/>
        </w:rPr>
        <w:t>Р Е Ш Е Њ Е</w:t>
      </w:r>
    </w:p>
    <w:p w:rsidR="0003410A" w:rsidRPr="00833B6C" w:rsidRDefault="0003410A" w:rsidP="007C234D">
      <w:pPr>
        <w:rPr>
          <w:b/>
          <w:lang w:val="sr-Cyrl-RS"/>
        </w:rPr>
      </w:pPr>
    </w:p>
    <w:p w:rsidR="00833B6C" w:rsidRPr="00833B6C" w:rsidRDefault="00833B6C" w:rsidP="00833B6C">
      <w:pPr>
        <w:spacing w:after="120"/>
        <w:ind w:firstLine="709"/>
        <w:jc w:val="both"/>
        <w:rPr>
          <w:bCs/>
          <w:noProof/>
          <w:lang w:val="sr-Cyrl-RS"/>
        </w:rPr>
      </w:pPr>
      <w:r w:rsidRPr="00833B6C">
        <w:rPr>
          <w:b/>
          <w:bCs/>
          <w:lang w:val="sr-Latn-RS"/>
        </w:rPr>
        <w:t>I</w:t>
      </w:r>
      <w:r w:rsidRPr="00833B6C">
        <w:rPr>
          <w:bCs/>
          <w:lang w:val="sr-Latn-RS"/>
        </w:rPr>
        <w:tab/>
        <w:t xml:space="preserve">Град Ниш </w:t>
      </w:r>
      <w:bookmarkStart w:id="0" w:name="OLE_LINK85"/>
      <w:bookmarkStart w:id="1" w:name="OLE_LINK86"/>
      <w:r w:rsidRPr="00833B6C">
        <w:rPr>
          <w:bCs/>
          <w:lang w:val="sr-Latn-RS"/>
        </w:rPr>
        <w:t xml:space="preserve">прихвата учешће </w:t>
      </w:r>
      <w:bookmarkStart w:id="2" w:name="OLE_LINK74"/>
      <w:bookmarkStart w:id="3" w:name="OLE_LINK75"/>
      <w:bookmarkStart w:id="4" w:name="OLE_LINK99"/>
      <w:bookmarkStart w:id="5" w:name="OLE_LINK100"/>
      <w:r w:rsidRPr="00833B6C">
        <w:rPr>
          <w:bCs/>
          <w:lang w:val="sr-Cyrl-RS"/>
        </w:rPr>
        <w:t>у</w:t>
      </w:r>
      <w:bookmarkStart w:id="6" w:name="OLE_LINK50"/>
      <w:bookmarkStart w:id="7" w:name="OLE_LINK51"/>
      <w:bookmarkStart w:id="8" w:name="OLE_LINK52"/>
      <w:bookmarkEnd w:id="4"/>
      <w:bookmarkEnd w:id="5"/>
      <w:r w:rsidRPr="00833B6C">
        <w:rPr>
          <w:bCs/>
          <w:lang w:val="sr-Cyrl-RS"/>
        </w:rPr>
        <w:t xml:space="preserve"> пројектима унапређења енергетске ефикасности из Буџетског фонда за унапређење енергетске ефикасности Републике Србије, чије финансирање је одобрено Решењем Министарства рударства и енергетике </w:t>
      </w:r>
      <w:r w:rsidRPr="00833B6C">
        <w:rPr>
          <w:bCs/>
          <w:noProof/>
          <w:lang w:val="sr-Cyrl-RS"/>
        </w:rPr>
        <w:t>(</w:t>
      </w:r>
      <w:r w:rsidRPr="00833B6C">
        <w:rPr>
          <w:bCs/>
          <w:lang w:val="sr-Cyrl-RS"/>
        </w:rPr>
        <w:t>бр. 312-01-621/2020-06 од 15.03.2021. године</w:t>
      </w:r>
      <w:r>
        <w:rPr>
          <w:bCs/>
          <w:lang w:val="sr-Cyrl-RS"/>
        </w:rPr>
        <w:t>)</w:t>
      </w:r>
      <w:r w:rsidRPr="00833B6C">
        <w:rPr>
          <w:bCs/>
          <w:noProof/>
          <w:lang w:val="sr-Cyrl-RS"/>
        </w:rPr>
        <w:t xml:space="preserve"> и то за пројекте који су одобрени за:</w:t>
      </w:r>
    </w:p>
    <w:p w:rsidR="00833B6C" w:rsidRPr="00833B6C" w:rsidRDefault="00833B6C" w:rsidP="00833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Пантелеј</w:t>
      </w:r>
    </w:p>
    <w:p w:rsidR="00833B6C" w:rsidRPr="00833B6C" w:rsidRDefault="00833B6C" w:rsidP="00833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Црвени Крст</w:t>
      </w:r>
    </w:p>
    <w:p w:rsidR="00833B6C" w:rsidRPr="00833B6C" w:rsidRDefault="00833B6C" w:rsidP="00833B6C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>Градску општину</w:t>
      </w:r>
      <w:r w:rsidRPr="00833B6C">
        <w:rPr>
          <w:bCs/>
          <w:lang w:val="sr-Cyrl-RS"/>
        </w:rPr>
        <w:t xml:space="preserve"> Медијана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20"/>
        <w:jc w:val="both"/>
        <w:rPr>
          <w:bCs/>
          <w:lang w:val="sr-Cyrl-RS"/>
        </w:rPr>
      </w:pPr>
      <w:r w:rsidRPr="00833B6C">
        <w:rPr>
          <w:bCs/>
          <w:lang w:val="sr-Cyrl-RS"/>
        </w:rPr>
        <w:t>Истим Решењем Министарстрва одобрена су средства и за Град Ниш у износу од 20.000.000,00 динара али Град Ниш не прихвата учешће у овом пројекту унапређења енергетске ефикасности.</w:t>
      </w:r>
    </w:p>
    <w:p w:rsidR="00833B6C" w:rsidRPr="00833B6C" w:rsidRDefault="00833B6C" w:rsidP="00833B6C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bookmarkStart w:id="9" w:name="OLE_LINK56"/>
      <w:bookmarkStart w:id="10" w:name="OLE_LINK60"/>
      <w:bookmarkEnd w:id="0"/>
      <w:bookmarkEnd w:id="1"/>
      <w:bookmarkEnd w:id="2"/>
      <w:bookmarkEnd w:id="3"/>
      <w:bookmarkEnd w:id="6"/>
      <w:bookmarkEnd w:id="7"/>
      <w:bookmarkEnd w:id="8"/>
      <w:r w:rsidRPr="00833B6C">
        <w:rPr>
          <w:b/>
          <w:bCs/>
          <w:lang w:val="sr-Latn-RS"/>
        </w:rPr>
        <w:t>II</w:t>
      </w:r>
      <w:r w:rsidRPr="00833B6C">
        <w:rPr>
          <w:bCs/>
          <w:lang w:val="sr-Latn-RS"/>
        </w:rPr>
        <w:tab/>
      </w:r>
      <w:bookmarkStart w:id="11" w:name="OLE_LINK58"/>
      <w:bookmarkStart w:id="12" w:name="OLE_LINK59"/>
      <w:bookmarkStart w:id="13" w:name="OLE_LINK17"/>
      <w:bookmarkStart w:id="14" w:name="OLE_LINK18"/>
      <w:bookmarkStart w:id="15" w:name="OLE_LINK19"/>
      <w:bookmarkStart w:id="16" w:name="OLE_LINK53"/>
      <w:bookmarkStart w:id="17" w:name="OLE_LINK54"/>
      <w:bookmarkStart w:id="18" w:name="OLE_LINK9"/>
      <w:bookmarkStart w:id="19" w:name="OLE_LINK10"/>
      <w:r w:rsidRPr="00833B6C">
        <w:rPr>
          <w:bCs/>
          <w:lang w:val="sr-Cyrl-RS"/>
        </w:rPr>
        <w:t>Општи ц</w:t>
      </w:r>
      <w:r w:rsidRPr="00833B6C">
        <w:rPr>
          <w:bCs/>
          <w:lang w:val="sr-Latn-RS"/>
        </w:rPr>
        <w:t xml:space="preserve">иљ </w:t>
      </w:r>
      <w:r w:rsidRPr="00833B6C">
        <w:rPr>
          <w:bCs/>
          <w:lang w:val="sr-Cyrl-RS"/>
        </w:rPr>
        <w:t xml:space="preserve">пројеката је </w:t>
      </w:r>
      <w:bookmarkEnd w:id="11"/>
      <w:bookmarkEnd w:id="12"/>
      <w:bookmarkEnd w:id="13"/>
      <w:bookmarkEnd w:id="14"/>
      <w:bookmarkEnd w:id="15"/>
      <w:r w:rsidRPr="00833B6C">
        <w:rPr>
          <w:bCs/>
          <w:lang w:val="sr-Cyrl-RS"/>
        </w:rPr>
        <w:t xml:space="preserve">унапређење енергетске ефикасности у објектима од јавног значаја у Граду Нишу, тиме и </w:t>
      </w:r>
      <w:r w:rsidR="00303662">
        <w:rPr>
          <w:bCs/>
          <w:lang w:val="sr-Cyrl-RS"/>
        </w:rPr>
        <w:t xml:space="preserve">смањење </w:t>
      </w:r>
      <w:r w:rsidRPr="00833B6C">
        <w:rPr>
          <w:bCs/>
          <w:lang w:val="sr-Cyrl-RS"/>
        </w:rPr>
        <w:t xml:space="preserve">финансијских трошкова за снабдевање енергијом и енергентима. 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Специфични циљеви пројеката су унапређење енергетске ефикасности три</w:t>
      </w:r>
      <w:r w:rsidRPr="00833B6C">
        <w:t xml:space="preserve"> </w:t>
      </w:r>
      <w:r w:rsidRPr="00833B6C">
        <w:rPr>
          <w:bCs/>
          <w:lang w:val="sr-Cyrl-RS"/>
        </w:rPr>
        <w:t>објекта од јавног значаја у Граду Нишу, и то:</w:t>
      </w:r>
    </w:p>
    <w:p w:rsidR="00833B6C" w:rsidRPr="00833B6C" w:rsidRDefault="00833B6C" w:rsidP="00833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 xml:space="preserve">Грађевинска </w:t>
      </w:r>
      <w:r w:rsidRPr="00833B6C">
        <w:rPr>
          <w:lang w:val="sr-Cyrl-RS" w:eastAsia="en-US"/>
        </w:rPr>
        <w:t xml:space="preserve">техничка </w:t>
      </w:r>
      <w:r w:rsidRPr="00833B6C">
        <w:rPr>
          <w:bCs/>
          <w:lang w:val="sr-Cyrl-RS"/>
        </w:rPr>
        <w:t>школа „Неимар“</w:t>
      </w:r>
    </w:p>
    <w:p w:rsidR="00833B6C" w:rsidRPr="00833B6C" w:rsidRDefault="00833B6C" w:rsidP="00833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Основна школа „Стефан Немања“</w:t>
      </w:r>
    </w:p>
    <w:p w:rsidR="00833B6C" w:rsidRPr="00833B6C" w:rsidRDefault="00833B6C" w:rsidP="00833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Вртић „Лептирић“</w:t>
      </w:r>
    </w:p>
    <w:p w:rsidR="00833B6C" w:rsidRPr="00833B6C" w:rsidRDefault="00833B6C" w:rsidP="00833B6C">
      <w:pPr>
        <w:autoSpaceDE w:val="0"/>
        <w:autoSpaceDN w:val="0"/>
        <w:adjustRightInd w:val="0"/>
        <w:ind w:left="1069"/>
        <w:jc w:val="both"/>
        <w:rPr>
          <w:bCs/>
          <w:lang w:val="sr-Cyrl-RS"/>
        </w:rPr>
      </w:pP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bookmarkStart w:id="20" w:name="OLE_LINK40"/>
      <w:bookmarkStart w:id="21" w:name="OLE_LINK41"/>
      <w:bookmarkEnd w:id="9"/>
      <w:bookmarkEnd w:id="10"/>
      <w:bookmarkEnd w:id="16"/>
      <w:bookmarkEnd w:id="17"/>
      <w:bookmarkEnd w:id="18"/>
      <w:bookmarkEnd w:id="19"/>
      <w:r w:rsidRPr="00833B6C">
        <w:rPr>
          <w:b/>
          <w:bCs/>
          <w:lang w:val="sr-Latn-RS"/>
        </w:rPr>
        <w:t>I</w:t>
      </w:r>
      <w:bookmarkStart w:id="22" w:name="OLE_LINK66"/>
      <w:bookmarkStart w:id="23" w:name="OLE_LINK67"/>
      <w:bookmarkStart w:id="24" w:name="OLE_LINK20"/>
      <w:bookmarkStart w:id="25" w:name="OLE_LINK21"/>
      <w:bookmarkStart w:id="26" w:name="OLE_LINK24"/>
      <w:bookmarkStart w:id="27" w:name="OLE_LINK23"/>
      <w:bookmarkStart w:id="28" w:name="OLE_LINK26"/>
      <w:bookmarkEnd w:id="20"/>
      <w:bookmarkEnd w:id="21"/>
      <w:r w:rsidRPr="00833B6C">
        <w:rPr>
          <w:b/>
          <w:bCs/>
          <w:lang w:val="sr-Latn-RS"/>
        </w:rPr>
        <w:t>II</w:t>
      </w:r>
      <w:r w:rsidRPr="00833B6C">
        <w:rPr>
          <w:b/>
          <w:bCs/>
          <w:lang w:val="sr-Cyrl-RS"/>
        </w:rPr>
        <w:tab/>
      </w:r>
      <w:r w:rsidRPr="00833B6C">
        <w:rPr>
          <w:bCs/>
          <w:lang w:val="sr-Cyrl-RS"/>
        </w:rPr>
        <w:t>Градским општинама су у оквиру пројеката одобрена финансијска средства из Буџетског фонда за унапређење енергетске ефикасности Републике Србије у укупном износу од 57.323.203,00 динара, која ће се утрошити током спровођења пројеката. Појединачно, ова средства су одобрена на следећи начин:</w:t>
      </w:r>
    </w:p>
    <w:p w:rsidR="00833B6C" w:rsidRPr="00833B6C" w:rsidRDefault="00833B6C" w:rsidP="00833B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lang w:val="sr-Cyrl-RS"/>
        </w:rPr>
        <w:tab/>
      </w:r>
      <w:r w:rsidRPr="00833B6C">
        <w:rPr>
          <w:bCs/>
          <w:color w:val="000000"/>
          <w:lang w:val="sr-Cyrl-RS"/>
        </w:rPr>
        <w:t>Градској општини Пантелеј</w:t>
      </w:r>
      <w:r w:rsidRPr="00833B6C">
        <w:rPr>
          <w:bCs/>
          <w:color w:val="000000"/>
          <w:lang w:val="sr-Cyrl-RS"/>
        </w:rPr>
        <w:tab/>
      </w:r>
      <w:r w:rsidRPr="00833B6C">
        <w:rPr>
          <w:bCs/>
          <w:color w:val="000000"/>
          <w:lang w:val="sr-Cyrl-RS"/>
        </w:rPr>
        <w:tab/>
        <w:t>20.000.000,00 динара</w:t>
      </w:r>
    </w:p>
    <w:p w:rsidR="00833B6C" w:rsidRPr="00833B6C" w:rsidRDefault="00833B6C" w:rsidP="00833B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ab/>
        <w:t>Градској општини Црвени Крст</w:t>
      </w:r>
      <w:r w:rsidRPr="00833B6C">
        <w:rPr>
          <w:bCs/>
          <w:color w:val="000000"/>
          <w:lang w:val="sr-Cyrl-RS"/>
        </w:rPr>
        <w:tab/>
        <w:t>17.323.203,00 динара</w:t>
      </w:r>
    </w:p>
    <w:p w:rsidR="00833B6C" w:rsidRPr="00833B6C" w:rsidRDefault="00833B6C" w:rsidP="00833B6C">
      <w:pPr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ab/>
        <w:t>Градској општини Медијана</w:t>
      </w:r>
      <w:r w:rsidRPr="00833B6C">
        <w:rPr>
          <w:bCs/>
          <w:lang w:val="sr-Cyrl-RS"/>
        </w:rPr>
        <w:tab/>
        <w:t>20.000.000,00 динара</w:t>
      </w: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t>Ова средства ће бити додељена у зависности од висине тачних вредности пројеката, прецизираних након спроведених поступака јавних набавки у градским општинама у складу са одредбама Закона о јавним набавкама („Службени гласник РС“, број 91/2019), а највише до утврђених износа.</w:t>
      </w: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</w:p>
    <w:p w:rsid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/>
          <w:bCs/>
          <w:lang w:val="sr-Cyrl-RS"/>
        </w:rPr>
        <w:t>I</w:t>
      </w:r>
      <w:r w:rsidRPr="00833B6C">
        <w:rPr>
          <w:b/>
          <w:bCs/>
          <w:lang w:val="sr-Latn-RS"/>
        </w:rPr>
        <w:t>V</w:t>
      </w:r>
      <w:r w:rsidRPr="00833B6C">
        <w:rPr>
          <w:b/>
          <w:bCs/>
          <w:lang w:val="sr-Cyrl-RS"/>
        </w:rPr>
        <w:tab/>
      </w:r>
      <w:r w:rsidRPr="00833B6C">
        <w:rPr>
          <w:bCs/>
          <w:color w:val="000000"/>
          <w:lang w:val="sr-Cyrl-RS"/>
        </w:rPr>
        <w:t>Обавезују се</w:t>
      </w:r>
      <w:r w:rsidRPr="00833B6C">
        <w:rPr>
          <w:b/>
          <w:bCs/>
          <w:color w:val="000000"/>
          <w:lang w:val="sr-Cyrl-RS"/>
        </w:rPr>
        <w:t xml:space="preserve"> </w:t>
      </w:r>
      <w:r w:rsidRPr="00833B6C">
        <w:rPr>
          <w:bCs/>
          <w:color w:val="000000"/>
          <w:lang w:val="sr-Cyrl-RS"/>
        </w:rPr>
        <w:t>градске општине да код Града Ниша обезбеде</w:t>
      </w:r>
      <w:r w:rsidRPr="00833B6C">
        <w:rPr>
          <w:bCs/>
          <w:lang w:val="sr-Cyrl-RS"/>
        </w:rPr>
        <w:t xml:space="preserve"> недостајућа финансијска средства неопходна за финансирање пројеката која су наведена у пријавним обрасцима поднетим приликом аплицирања по овом Јавном позиву у укупном износу од 51.851.085,62 динара. Појединачно, процењени износи недостајућих средстава су утврђени на следећи начин:</w:t>
      </w:r>
    </w:p>
    <w:p w:rsidR="00833B6C" w:rsidRPr="00833B6C" w:rsidRDefault="00833B6C" w:rsidP="00833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Градска општина Пантелеј</w:t>
      </w:r>
      <w:r w:rsidRPr="00833B6C">
        <w:rPr>
          <w:bCs/>
          <w:color w:val="000000"/>
          <w:lang w:val="sr-Cyrl-RS"/>
        </w:rPr>
        <w:tab/>
      </w:r>
      <w:r w:rsidRPr="00833B6C">
        <w:rPr>
          <w:bCs/>
          <w:color w:val="000000"/>
          <w:lang w:val="sr-Cyrl-RS"/>
        </w:rPr>
        <w:tab/>
        <w:t>25.980.124,00 динара</w:t>
      </w:r>
    </w:p>
    <w:p w:rsidR="00833B6C" w:rsidRPr="00833B6C" w:rsidRDefault="00833B6C" w:rsidP="00833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Градска општина Црвени Крст</w:t>
      </w:r>
      <w:r w:rsidRPr="00833B6C">
        <w:rPr>
          <w:bCs/>
          <w:color w:val="000000"/>
          <w:lang w:val="sr-Cyrl-RS"/>
        </w:rPr>
        <w:tab/>
      </w:r>
      <w:r>
        <w:rPr>
          <w:bCs/>
          <w:color w:val="000000"/>
          <w:lang w:val="sr-Cyrl-RS"/>
        </w:rPr>
        <w:t xml:space="preserve">  </w:t>
      </w:r>
      <w:r w:rsidRPr="00833B6C">
        <w:rPr>
          <w:bCs/>
          <w:color w:val="000000"/>
          <w:lang w:val="sr-Cyrl-RS"/>
        </w:rPr>
        <w:t>7.424.229,78 динара</w:t>
      </w:r>
    </w:p>
    <w:p w:rsidR="00833B6C" w:rsidRPr="00833B6C" w:rsidRDefault="00833B6C" w:rsidP="00833B6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357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ab/>
        <w:t>Градска општина</w:t>
      </w:r>
      <w:r w:rsidRPr="00833B6C">
        <w:rPr>
          <w:bCs/>
          <w:lang w:val="sr-Cyrl-RS"/>
        </w:rPr>
        <w:t xml:space="preserve"> Медијана</w:t>
      </w:r>
      <w:r w:rsidRPr="00833B6C">
        <w:rPr>
          <w:bCs/>
          <w:lang w:val="sr-Cyrl-RS"/>
        </w:rPr>
        <w:tab/>
      </w:r>
      <w:r w:rsidRPr="00833B6C">
        <w:rPr>
          <w:bCs/>
          <w:lang w:val="sr-Cyrl-RS"/>
        </w:rPr>
        <w:tab/>
        <w:t>18.446.731,84 динара</w:t>
      </w: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lastRenderedPageBreak/>
        <w:t>Износ ових средстава ће бити прецизиран након спроведених поступака јавних набавки у градским општинама.</w:t>
      </w: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bookmarkStart w:id="29" w:name="OLE_LINK38"/>
      <w:bookmarkStart w:id="30" w:name="OLE_LINK39"/>
      <w:bookmarkEnd w:id="22"/>
      <w:bookmarkEnd w:id="23"/>
      <w:bookmarkEnd w:id="24"/>
      <w:bookmarkEnd w:id="25"/>
      <w:bookmarkEnd w:id="26"/>
      <w:bookmarkEnd w:id="27"/>
      <w:bookmarkEnd w:id="28"/>
      <w:r w:rsidRPr="00833B6C">
        <w:rPr>
          <w:b/>
          <w:bCs/>
          <w:lang w:val="sr-Latn-RS"/>
        </w:rPr>
        <w:t>V</w:t>
      </w:r>
      <w:bookmarkStart w:id="31" w:name="OLE_LINK76"/>
      <w:bookmarkStart w:id="32" w:name="OLE_LINK77"/>
      <w:bookmarkEnd w:id="29"/>
      <w:bookmarkEnd w:id="30"/>
      <w:r w:rsidRPr="00833B6C">
        <w:rPr>
          <w:bCs/>
          <w:lang w:val="sr-Cyrl-RS"/>
        </w:rPr>
        <w:tab/>
        <w:t>Обавезује се Град Ниш да у свом буџету обезбеди средства за спровођење овог пројекта у износу од 51.851.085,62 динара</w:t>
      </w:r>
      <w:r w:rsidRPr="00833B6C">
        <w:rPr>
          <w:bCs/>
          <w:lang w:val="sr-Latn-RS"/>
        </w:rPr>
        <w:t xml:space="preserve"> </w:t>
      </w:r>
      <w:r w:rsidRPr="00833B6C">
        <w:rPr>
          <w:bCs/>
          <w:lang w:val="sr-Cyrl-BA"/>
        </w:rPr>
        <w:t>из текуће буџетске резерве</w:t>
      </w:r>
      <w:r w:rsidRPr="00833B6C">
        <w:rPr>
          <w:bCs/>
          <w:lang w:val="sr-Cyrl-RS"/>
        </w:rPr>
        <w:t>.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 xml:space="preserve"> </w:t>
      </w:r>
      <w:r w:rsidRPr="00833B6C">
        <w:rPr>
          <w:bCs/>
          <w:color w:val="000000"/>
          <w:lang w:val="sr-Cyrl-RS"/>
        </w:rPr>
        <w:t>Обавезује се Град Ниш, да</w:t>
      </w:r>
      <w:bookmarkEnd w:id="31"/>
      <w:bookmarkEnd w:id="32"/>
      <w:r w:rsidRPr="00833B6C">
        <w:rPr>
          <w:bCs/>
          <w:color w:val="000000"/>
          <w:lang w:val="sr-Cyrl-RS"/>
        </w:rPr>
        <w:t xml:space="preserve"> у складу са тачком I</w:t>
      </w:r>
      <w:r w:rsidRPr="00833B6C">
        <w:rPr>
          <w:bCs/>
          <w:color w:val="000000"/>
          <w:lang w:val="sr-Latn-RS"/>
        </w:rPr>
        <w:t>V</w:t>
      </w:r>
      <w:r w:rsidRPr="00833B6C">
        <w:rPr>
          <w:b/>
          <w:bCs/>
          <w:color w:val="000000"/>
          <w:lang w:val="sr-Cyrl-RS"/>
        </w:rPr>
        <w:t xml:space="preserve"> </w:t>
      </w:r>
      <w:r w:rsidRPr="00833B6C">
        <w:rPr>
          <w:bCs/>
          <w:color w:val="000000"/>
          <w:lang w:val="sr-Cyrl-RS"/>
        </w:rPr>
        <w:t xml:space="preserve">овог решења, на документован захтев градских општина, истим пренесе финансијска </w:t>
      </w:r>
      <w:r w:rsidRPr="00833B6C">
        <w:rPr>
          <w:bCs/>
          <w:lang w:val="sr-Cyrl-RS"/>
        </w:rPr>
        <w:t>средства намењена за спровођење пројеката.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tab/>
      </w:r>
      <w:r w:rsidRPr="00833B6C">
        <w:rPr>
          <w:bCs/>
          <w:lang w:val="sr-Cyrl-RS"/>
        </w:rPr>
        <w:tab/>
        <w:t>Обавезује се Град Ниш да обезбеди и градским општинама пренесе разлику средстава до уговорене вредности пројекта, што укључује и евентуалне вишкове, односно непредвиђене радова на пројекту.</w:t>
      </w:r>
    </w:p>
    <w:p w:rsidR="00833B6C" w:rsidRPr="00833B6C" w:rsidRDefault="00833B6C" w:rsidP="00833B6C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/>
          <w:bCs/>
          <w:lang w:val="sr-Cyrl-RS"/>
        </w:rPr>
        <w:t>VI</w:t>
      </w:r>
      <w:r w:rsidRPr="00833B6C">
        <w:rPr>
          <w:b/>
          <w:bCs/>
          <w:lang w:val="sr-Cyrl-RS"/>
        </w:rPr>
        <w:tab/>
      </w:r>
      <w:r w:rsidRPr="00833B6C">
        <w:rPr>
          <w:bCs/>
          <w:color w:val="000000"/>
          <w:lang w:val="sr-Cyrl-RS"/>
        </w:rPr>
        <w:t>Обавезују се градске</w:t>
      </w:r>
      <w:r w:rsidRPr="00833B6C">
        <w:rPr>
          <w:bCs/>
          <w:lang w:val="sr-Cyrl-RS"/>
        </w:rPr>
        <w:t xml:space="preserve"> општине да: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закључе Уговоре о финансирању пројеката са Министарством,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донесу одговарајућа правна акта у циљу преноса финансијских средстава у буџете градских општина,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покрену и спроведу поступке јавних набавки у складу са одредбама Закона о јавним набавкама, за набавку радова у складу са одобреним пројектима,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обезбеде административно праћење спровођења пројеката и праћење коришћења финансијских средстава.</w:t>
      </w:r>
    </w:p>
    <w:p w:rsidR="00833B6C" w:rsidRPr="00833B6C" w:rsidRDefault="00833B6C" w:rsidP="00833B6C">
      <w:pPr>
        <w:autoSpaceDE w:val="0"/>
        <w:autoSpaceDN w:val="0"/>
        <w:adjustRightInd w:val="0"/>
        <w:ind w:left="1069"/>
        <w:jc w:val="both"/>
        <w:rPr>
          <w:bCs/>
          <w:lang w:val="sr-Cyrl-RS"/>
        </w:rPr>
      </w:pP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  <w:bookmarkStart w:id="33" w:name="OLE_LINK43"/>
      <w:bookmarkStart w:id="34" w:name="OLE_LINK44"/>
      <w:bookmarkStart w:id="35" w:name="OLE_LINK45"/>
      <w:bookmarkStart w:id="36" w:name="OLE_LINK3"/>
      <w:bookmarkStart w:id="37" w:name="OLE_LINK4"/>
      <w:r w:rsidRPr="00833B6C">
        <w:rPr>
          <w:b/>
          <w:bCs/>
          <w:lang w:val="sr-Latn-RS"/>
        </w:rPr>
        <w:t>VI</w:t>
      </w:r>
      <w:bookmarkStart w:id="38" w:name="OLE_LINK46"/>
      <w:bookmarkStart w:id="39" w:name="OLE_LINK47"/>
      <w:r w:rsidRPr="00833B6C">
        <w:rPr>
          <w:b/>
          <w:bCs/>
          <w:lang w:val="sr-Latn-RS"/>
        </w:rPr>
        <w:t>I</w:t>
      </w:r>
      <w:bookmarkEnd w:id="33"/>
      <w:bookmarkEnd w:id="34"/>
      <w:bookmarkEnd w:id="35"/>
      <w:bookmarkEnd w:id="36"/>
      <w:bookmarkEnd w:id="37"/>
      <w:bookmarkEnd w:id="38"/>
      <w:bookmarkEnd w:id="39"/>
      <w:r w:rsidRPr="00833B6C">
        <w:rPr>
          <w:bCs/>
          <w:lang w:val="sr-Cyrl-RS"/>
        </w:rPr>
        <w:tab/>
        <w:t>Налаже се ЈП Дирекција за изградњу Града Ниша да градским општинама пружи услугу стручног надзора над извођењем радова приликом спровођења пројеката.</w:t>
      </w:r>
    </w:p>
    <w:p w:rsidR="00833B6C" w:rsidRPr="00833B6C" w:rsidRDefault="00833B6C" w:rsidP="00833B6C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833B6C" w:rsidRPr="00833B6C" w:rsidRDefault="00833B6C" w:rsidP="00833B6C">
      <w:pPr>
        <w:ind w:firstLine="709"/>
        <w:jc w:val="both"/>
        <w:rPr>
          <w:bCs/>
          <w:lang w:val="en-US"/>
        </w:rPr>
      </w:pPr>
      <w:r w:rsidRPr="00833B6C">
        <w:rPr>
          <w:b/>
          <w:bCs/>
          <w:lang w:val="sr-Latn-RS"/>
        </w:rPr>
        <w:t>VIII</w:t>
      </w:r>
      <w:r w:rsidRPr="00833B6C">
        <w:rPr>
          <w:b/>
          <w:bCs/>
          <w:lang w:val="sr-Latn-RS"/>
        </w:rPr>
        <w:tab/>
      </w:r>
      <w:r w:rsidRPr="00833B6C">
        <w:rPr>
          <w:bCs/>
          <w:lang w:val="sr-Cyrl-RS"/>
        </w:rPr>
        <w:t xml:space="preserve">Обавезује се Канцеларија за локални економски развој да градским општинама пружи пуну правнотехничку помоћ у реализацији  пројеката ближе описаних у тачки </w:t>
      </w:r>
      <w:r w:rsidRPr="00833B6C">
        <w:rPr>
          <w:bCs/>
          <w:lang w:val="en-US"/>
        </w:rPr>
        <w:t>I</w:t>
      </w:r>
      <w:r w:rsidRPr="00833B6C">
        <w:rPr>
          <w:bCs/>
          <w:lang w:val="sr-Cyrl-RS"/>
        </w:rPr>
        <w:t xml:space="preserve"> овог Решења.</w:t>
      </w:r>
    </w:p>
    <w:p w:rsidR="00833B6C" w:rsidRPr="00833B6C" w:rsidRDefault="00833B6C" w:rsidP="00833B6C">
      <w:pPr>
        <w:ind w:firstLine="709"/>
        <w:jc w:val="both"/>
        <w:rPr>
          <w:bCs/>
          <w:lang w:val="en-US"/>
        </w:rPr>
      </w:pPr>
    </w:p>
    <w:p w:rsidR="00833B6C" w:rsidRDefault="00833B6C" w:rsidP="00833B6C">
      <w:pPr>
        <w:ind w:firstLine="709"/>
        <w:jc w:val="both"/>
        <w:rPr>
          <w:b/>
          <w:bCs/>
          <w:lang w:val="sr-Cyrl-RS"/>
        </w:rPr>
      </w:pPr>
      <w:proofErr w:type="gramStart"/>
      <w:r w:rsidRPr="00833B6C">
        <w:rPr>
          <w:b/>
          <w:bCs/>
          <w:lang w:val="en-US"/>
        </w:rPr>
        <w:t>IX</w:t>
      </w:r>
      <w:r w:rsidRPr="00833B6C">
        <w:rPr>
          <w:b/>
          <w:bCs/>
          <w:lang w:val="en-US"/>
        </w:rPr>
        <w:tab/>
      </w:r>
      <w:r w:rsidRPr="00833B6C">
        <w:rPr>
          <w:bCs/>
          <w:lang w:val="sr-Cyrl-RS"/>
        </w:rPr>
        <w:t>Надзор над реализацијом Пројеката врши Градска управа за друштвене делатности.</w:t>
      </w:r>
      <w:proofErr w:type="gramEnd"/>
      <w:r w:rsidRPr="00833B6C">
        <w:rPr>
          <w:b/>
          <w:bCs/>
          <w:lang w:val="sr-Cyrl-RS"/>
        </w:rPr>
        <w:tab/>
      </w:r>
    </w:p>
    <w:p w:rsidR="00833B6C" w:rsidRPr="00833B6C" w:rsidRDefault="00833B6C" w:rsidP="00833B6C">
      <w:pPr>
        <w:ind w:firstLine="709"/>
        <w:jc w:val="both"/>
        <w:rPr>
          <w:b/>
          <w:bCs/>
          <w:lang w:val="sr-Latn-RS"/>
        </w:rPr>
      </w:pPr>
    </w:p>
    <w:p w:rsidR="008505BA" w:rsidRPr="00833B6C" w:rsidRDefault="008505BA" w:rsidP="00904C65">
      <w:pPr>
        <w:ind w:firstLine="720"/>
        <w:jc w:val="both"/>
        <w:rPr>
          <w:lang w:val="sr-Cyrl-BA"/>
        </w:rPr>
      </w:pPr>
    </w:p>
    <w:p w:rsidR="00904C65" w:rsidRPr="00833B6C" w:rsidRDefault="00904C65" w:rsidP="00904C65">
      <w:pPr>
        <w:jc w:val="both"/>
        <w:rPr>
          <w:b/>
          <w:lang w:val="sr-Cyrl-CS"/>
        </w:rPr>
      </w:pPr>
      <w:r w:rsidRPr="00833B6C">
        <w:rPr>
          <w:b/>
          <w:lang w:val="sr-Cyrl-CS"/>
        </w:rPr>
        <w:t>Број:__________</w:t>
      </w:r>
    </w:p>
    <w:p w:rsidR="007C234D" w:rsidRPr="00833B6C" w:rsidRDefault="007C234D" w:rsidP="00904C65">
      <w:pPr>
        <w:jc w:val="both"/>
        <w:rPr>
          <w:b/>
          <w:lang w:val="sr-Cyrl-CS"/>
        </w:rPr>
      </w:pP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  <w:r w:rsidRPr="00833B6C">
        <w:rPr>
          <w:b/>
          <w:lang w:val="sr-Cyrl-CS"/>
        </w:rPr>
        <w:t>У Нишу,_______</w:t>
      </w:r>
      <w:r w:rsidR="005900FF" w:rsidRPr="00833B6C">
        <w:rPr>
          <w:b/>
          <w:lang w:val="sr-Cyrl-CS"/>
        </w:rPr>
        <w:t>2021</w:t>
      </w:r>
      <w:r w:rsidRPr="00833B6C">
        <w:rPr>
          <w:b/>
          <w:lang w:val="sr-Cyrl-CS"/>
        </w:rPr>
        <w:t>.године</w:t>
      </w:r>
    </w:p>
    <w:p w:rsidR="00904C65" w:rsidRPr="00833B6C" w:rsidRDefault="00904C65" w:rsidP="00904C65">
      <w:pPr>
        <w:pStyle w:val="NoSpacing"/>
        <w:jc w:val="both"/>
        <w:rPr>
          <w:b/>
          <w:lang w:val="sr-Latn-RS"/>
        </w:rPr>
      </w:pPr>
    </w:p>
    <w:p w:rsidR="008505BA" w:rsidRPr="00833B6C" w:rsidRDefault="008505BA" w:rsidP="00904C65">
      <w:pPr>
        <w:pStyle w:val="NoSpacing"/>
        <w:jc w:val="both"/>
        <w:rPr>
          <w:b/>
          <w:lang w:val="sr-Latn-RS"/>
        </w:rPr>
      </w:pP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  <w:r w:rsidRPr="00833B6C">
        <w:rPr>
          <w:b/>
          <w:lang w:val="sr-Cyrl-CS"/>
        </w:rPr>
        <w:t xml:space="preserve">                    </w:t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  <w:t>СКУПШТИНА  ГРАДА НИША</w:t>
      </w: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</w:p>
    <w:p w:rsidR="00904C65" w:rsidRPr="00833B6C" w:rsidRDefault="00833B6C" w:rsidP="00904C65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  <w:r w:rsidRPr="00833B6C">
        <w:rPr>
          <w:b/>
          <w:lang w:val="sr-Cyrl-CS"/>
        </w:rPr>
        <w:t xml:space="preserve"> </w:t>
      </w:r>
      <w:r w:rsidR="00904C65" w:rsidRPr="00833B6C">
        <w:rPr>
          <w:b/>
          <w:lang w:val="sr-Cyrl-CS"/>
        </w:rPr>
        <w:t xml:space="preserve">  ПРЕДСЕДНИК</w:t>
      </w:r>
    </w:p>
    <w:p w:rsidR="00904C65" w:rsidRPr="00833B6C" w:rsidRDefault="00904C65" w:rsidP="00904C65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</w:p>
    <w:p w:rsidR="00904C65" w:rsidRDefault="00904C65" w:rsidP="00904C65">
      <w:pPr>
        <w:pStyle w:val="NoSpacing"/>
        <w:spacing w:line="276" w:lineRule="auto"/>
        <w:jc w:val="both"/>
        <w:rPr>
          <w:b/>
          <w:lang w:val="sr-Cyrl-CS"/>
        </w:rPr>
      </w:pP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  <w:t xml:space="preserve">                  Бобан Џунић</w:t>
      </w:r>
    </w:p>
    <w:p w:rsidR="00303662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303662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  <w:bookmarkStart w:id="40" w:name="_GoBack"/>
      <w:bookmarkEnd w:id="40"/>
    </w:p>
    <w:p w:rsidR="00303662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303662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303662" w:rsidRPr="00833B6C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355177" w:rsidRPr="00833B6C" w:rsidRDefault="00443D4F" w:rsidP="00443D4F">
      <w:pPr>
        <w:ind w:left="2160" w:firstLine="720"/>
        <w:rPr>
          <w:b/>
          <w:lang w:val="sr-Cyrl-CS"/>
        </w:rPr>
      </w:pPr>
      <w:r w:rsidRPr="00833B6C">
        <w:rPr>
          <w:b/>
          <w:lang w:val="sr-Cyrl-CS"/>
        </w:rPr>
        <w:lastRenderedPageBreak/>
        <w:t xml:space="preserve">       </w:t>
      </w:r>
      <w:r w:rsidR="007811E0" w:rsidRPr="00833B6C">
        <w:rPr>
          <w:b/>
          <w:lang w:val="sr-Cyrl-CS"/>
        </w:rPr>
        <w:t xml:space="preserve">О б р а з л о ж е њ е </w:t>
      </w:r>
    </w:p>
    <w:p w:rsidR="007811E0" w:rsidRPr="00833B6C" w:rsidRDefault="007811E0" w:rsidP="00443D4F">
      <w:pPr>
        <w:ind w:left="2160" w:firstLine="720"/>
        <w:rPr>
          <w:b/>
          <w:lang w:val="sr-Cyrl-CS"/>
        </w:rPr>
      </w:pPr>
    </w:p>
    <w:p w:rsidR="007811E0" w:rsidRPr="00833B6C" w:rsidRDefault="007811E0" w:rsidP="00443D4F">
      <w:pPr>
        <w:ind w:left="2160" w:firstLine="720"/>
        <w:rPr>
          <w:b/>
          <w:lang w:val="sr-Cyrl-CS"/>
        </w:rPr>
      </w:pPr>
    </w:p>
    <w:p w:rsidR="00833B6C" w:rsidRPr="00833B6C" w:rsidRDefault="00833B6C" w:rsidP="00833B6C">
      <w:pPr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Решењем Министарства рударства и енергетике бр. 312-01-621/2020-06 од 15.03.2021. године одобрено је финансирање пројеката унапређења енергетске ефикасности из Буџетског фонда за унапређење енергетске ефикасности Републике Србије у 20 јединица локалних самоуправа, међу којима и за: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Град Ниш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Пантелеј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Црвени Крст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>Градску општину</w:t>
      </w:r>
      <w:r w:rsidRPr="00833B6C">
        <w:rPr>
          <w:bCs/>
          <w:lang w:val="sr-Cyrl-RS"/>
        </w:rPr>
        <w:t xml:space="preserve"> Медијана</w:t>
      </w:r>
    </w:p>
    <w:p w:rsidR="00833B6C" w:rsidRPr="00833B6C" w:rsidRDefault="00833B6C" w:rsidP="00833B6C">
      <w:pPr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t>Наведеним решењем Министарства су утврђени и износи одобрених финансијских средстава из Буџетског фонда за унапређење енергетске ефикасности Републике Србије, уз обавезу изабраних јединица локалних самоуправа да обезбеде недостајућа финансијска средства за спровођење пројеката.</w:t>
      </w:r>
    </w:p>
    <w:p w:rsidR="00833B6C" w:rsidRPr="00833B6C" w:rsidRDefault="00833B6C" w:rsidP="00833B6C">
      <w:pPr>
        <w:ind w:firstLine="709"/>
        <w:jc w:val="both"/>
        <w:rPr>
          <w:bCs/>
          <w:lang w:val="sr-Latn-RS"/>
        </w:rPr>
      </w:pPr>
    </w:p>
    <w:p w:rsidR="00833B6C" w:rsidRPr="00833B6C" w:rsidRDefault="00303662" w:rsidP="00833B6C">
      <w:pPr>
        <w:ind w:firstLine="709"/>
        <w:jc w:val="both"/>
        <w:rPr>
          <w:bCs/>
          <w:lang w:val="sr-Latn-RS"/>
        </w:rPr>
      </w:pPr>
      <w:r>
        <w:rPr>
          <w:bCs/>
          <w:lang w:val="sr-Cyrl-RS"/>
        </w:rPr>
        <w:t>Имајући у виду да се овим Р</w:t>
      </w:r>
      <w:r w:rsidR="00833B6C" w:rsidRPr="00833B6C">
        <w:rPr>
          <w:bCs/>
          <w:lang w:val="sr-Cyrl-RS"/>
        </w:rPr>
        <w:t xml:space="preserve">ешењем не прихвата учешће у спровођењу пројекта који је одобрен за Град Ниш, истим се утврђују обавезе Града Ниша и градских општина у спровођењу </w:t>
      </w:r>
      <w:r>
        <w:rPr>
          <w:bCs/>
          <w:lang w:val="sr-Cyrl-RS"/>
        </w:rPr>
        <w:t xml:space="preserve">осталих </w:t>
      </w:r>
      <w:r w:rsidR="00833B6C" w:rsidRPr="00833B6C">
        <w:rPr>
          <w:bCs/>
          <w:lang w:val="sr-Cyrl-RS"/>
        </w:rPr>
        <w:t>одобрених пројеката.</w:t>
      </w:r>
    </w:p>
    <w:p w:rsidR="00833B6C" w:rsidRPr="00833B6C" w:rsidRDefault="00833B6C" w:rsidP="00833B6C">
      <w:pPr>
        <w:ind w:firstLine="709"/>
        <w:jc w:val="both"/>
        <w:rPr>
          <w:bCs/>
          <w:lang w:val="sr-Latn-RS"/>
        </w:rPr>
      </w:pPr>
    </w:p>
    <w:p w:rsidR="00303662" w:rsidRPr="00833B6C" w:rsidRDefault="00833B6C" w:rsidP="00303662">
      <w:pPr>
        <w:ind w:firstLine="709"/>
        <w:jc w:val="both"/>
        <w:rPr>
          <w:bCs/>
          <w:lang w:val="en-US"/>
        </w:rPr>
      </w:pPr>
      <w:r w:rsidRPr="00833B6C">
        <w:rPr>
          <w:bCs/>
          <w:lang w:val="sr-Cyrl-RS"/>
        </w:rPr>
        <w:t>ЈП Дирекција за изградњу града Ниша се обавезује да градским општинама пружи услугу стручног надзора над извођењем радова приликом спровођења пројеката.</w:t>
      </w:r>
      <w:r w:rsidR="00303662">
        <w:rPr>
          <w:bCs/>
          <w:lang w:val="sr-Cyrl-RS"/>
        </w:rPr>
        <w:t xml:space="preserve"> </w:t>
      </w:r>
      <w:r w:rsidR="00303662" w:rsidRPr="00833B6C">
        <w:rPr>
          <w:bCs/>
          <w:lang w:val="sr-Cyrl-RS"/>
        </w:rPr>
        <w:t xml:space="preserve">Обавезује се Канцеларија за локални економски развој да градским општинама пружи пуну правнотехничку помоћ у реализацији  пројеката ближе описаних у тачки </w:t>
      </w:r>
      <w:r w:rsidR="00303662" w:rsidRPr="00833B6C">
        <w:rPr>
          <w:bCs/>
          <w:lang w:val="en-US"/>
        </w:rPr>
        <w:t>I</w:t>
      </w:r>
      <w:r w:rsidR="00303662" w:rsidRPr="00833B6C">
        <w:rPr>
          <w:bCs/>
          <w:lang w:val="sr-Cyrl-RS"/>
        </w:rPr>
        <w:t xml:space="preserve"> овог Решења.</w:t>
      </w:r>
      <w:r w:rsidR="00303662">
        <w:rPr>
          <w:bCs/>
          <w:lang w:val="sr-Cyrl-RS"/>
        </w:rPr>
        <w:t xml:space="preserve"> </w:t>
      </w:r>
      <w:r w:rsidR="00303662" w:rsidRPr="00833B6C">
        <w:rPr>
          <w:bCs/>
          <w:lang w:val="sr-Cyrl-RS"/>
        </w:rPr>
        <w:t>Надзор над реализацијом Пројеката врши Градска управа за друштвене делатности.</w:t>
      </w:r>
      <w:r w:rsidR="00303662" w:rsidRPr="00833B6C">
        <w:rPr>
          <w:b/>
          <w:bCs/>
          <w:lang w:val="sr-Cyrl-RS"/>
        </w:rPr>
        <w:tab/>
      </w:r>
    </w:p>
    <w:p w:rsidR="00833B6C" w:rsidRPr="00833B6C" w:rsidRDefault="00833B6C" w:rsidP="00833B6C">
      <w:pPr>
        <w:ind w:firstLine="709"/>
        <w:jc w:val="both"/>
        <w:rPr>
          <w:bCs/>
          <w:lang w:val="sr-Latn-RS"/>
        </w:rPr>
      </w:pPr>
    </w:p>
    <w:p w:rsidR="00833B6C" w:rsidRPr="00833B6C" w:rsidRDefault="00833B6C" w:rsidP="00833B6C">
      <w:pPr>
        <w:jc w:val="both"/>
        <w:rPr>
          <w:lang w:val="sr-Latn-RS" w:eastAsia="en-US"/>
        </w:rPr>
      </w:pPr>
      <w:r w:rsidRPr="00833B6C">
        <w:rPr>
          <w:lang w:val="sr-Cyrl-RS" w:eastAsia="en-US"/>
        </w:rPr>
        <w:tab/>
        <w:t>Општи циљ пројеката је унапређење енергетске ефикасности три објекта од јавног значаја у Граду Нишу, и то: Грађевинске техничке школе „Неимар“, Основне школе „Стефан Немања“ и вртића „Лептирић“, у циљу сма</w:t>
      </w:r>
      <w:r w:rsidR="00303662">
        <w:rPr>
          <w:lang w:val="sr-Cyrl-RS" w:eastAsia="en-US"/>
        </w:rPr>
        <w:t>њења потрошње топлотне енергије</w:t>
      </w:r>
      <w:r w:rsidRPr="00833B6C">
        <w:rPr>
          <w:lang w:val="sr-Cyrl-RS" w:eastAsia="en-US"/>
        </w:rPr>
        <w:t xml:space="preserve">. </w:t>
      </w:r>
    </w:p>
    <w:p w:rsidR="00833B6C" w:rsidRPr="00833B6C" w:rsidRDefault="00833B6C" w:rsidP="00833B6C">
      <w:pPr>
        <w:jc w:val="both"/>
        <w:rPr>
          <w:color w:val="000000"/>
          <w:lang w:val="sr-Latn-RS" w:eastAsia="en-US"/>
        </w:rPr>
      </w:pPr>
    </w:p>
    <w:p w:rsidR="00833B6C" w:rsidRPr="00833B6C" w:rsidRDefault="00833B6C" w:rsidP="00833B6C">
      <w:pPr>
        <w:ind w:firstLine="709"/>
        <w:jc w:val="both"/>
        <w:rPr>
          <w:lang w:val="sr-Latn-RS" w:eastAsia="en-US"/>
        </w:rPr>
      </w:pPr>
      <w:r w:rsidRPr="00833B6C">
        <w:rPr>
          <w:color w:val="000000"/>
          <w:lang w:val="sr-Cyrl-RS" w:eastAsia="en-US"/>
        </w:rPr>
        <w:t xml:space="preserve">Обавеза Града Ниша је да </w:t>
      </w:r>
      <w:r w:rsidRPr="00833B6C">
        <w:rPr>
          <w:bCs/>
          <w:lang w:val="sr-Cyrl-RS"/>
        </w:rPr>
        <w:t>у свом буџету обе</w:t>
      </w:r>
      <w:r w:rsidR="00303662">
        <w:rPr>
          <w:bCs/>
          <w:lang w:val="sr-Cyrl-RS"/>
        </w:rPr>
        <w:t>збеди средства за спровођење ових</w:t>
      </w:r>
      <w:r w:rsidRPr="00833B6C">
        <w:rPr>
          <w:bCs/>
          <w:lang w:val="sr-Cyrl-RS"/>
        </w:rPr>
        <w:t xml:space="preserve"> пројек</w:t>
      </w:r>
      <w:r w:rsidR="00303662">
        <w:rPr>
          <w:bCs/>
          <w:lang w:val="sr-Cyrl-RS"/>
        </w:rPr>
        <w:t>а</w:t>
      </w:r>
      <w:r w:rsidRPr="00833B6C">
        <w:rPr>
          <w:bCs/>
          <w:lang w:val="sr-Cyrl-RS"/>
        </w:rPr>
        <w:t>та из текуће буџетске резерве у износу од 51.851.085,62 динара и</w:t>
      </w:r>
      <w:r w:rsidRPr="00833B6C">
        <w:rPr>
          <w:color w:val="000000"/>
          <w:lang w:val="sr-Cyrl-RS" w:eastAsia="en-US"/>
        </w:rPr>
        <w:t xml:space="preserve"> градским општинама пренесе финансијска средства у складу са тачком IV</w:t>
      </w:r>
      <w:r w:rsidRPr="00833B6C">
        <w:rPr>
          <w:lang w:val="sr-Cyrl-RS" w:eastAsia="en-US"/>
        </w:rPr>
        <w:t xml:space="preserve"> овог решења, намењена за спровођење пројеката. Обавеза  градских општина је да закључе уговоре о финансирању пројеката са Министарством, донесу одговарајућа правна акта у циљу преноса финансијских средстава у буџете градских општина, покрену и спроведу поступке јавних набавки у складу са одредбама Закона о јавним набавкама за набавку радова, у складу са одобреним пројектима и обезбеде административно праћење спровођења пројеката и праћење коришћења финансијских средстава.</w:t>
      </w:r>
    </w:p>
    <w:p w:rsidR="00833B6C" w:rsidRPr="00833B6C" w:rsidRDefault="00833B6C" w:rsidP="00833B6C">
      <w:pPr>
        <w:ind w:firstLine="709"/>
        <w:jc w:val="both"/>
        <w:rPr>
          <w:lang w:val="sr-Latn-RS" w:eastAsia="en-US"/>
        </w:rPr>
      </w:pPr>
    </w:p>
    <w:p w:rsidR="00833B6C" w:rsidRPr="00833B6C" w:rsidRDefault="00833B6C" w:rsidP="00833B6C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ab/>
        <w:t>На основу свега напред изложеног, као и због значаја ових пројеката за побољшање квалитета рада у објектима од јавног значаја, финансијске уштеде у буџету града Ниша, смањењ</w:t>
      </w:r>
      <w:r w:rsidRPr="00833B6C">
        <w:rPr>
          <w:bCs/>
          <w:lang w:val="sr-Latn-RS"/>
        </w:rPr>
        <w:t>e</w:t>
      </w:r>
      <w:r w:rsidRPr="00833B6C">
        <w:rPr>
          <w:bCs/>
          <w:lang w:val="sr-Cyrl-RS"/>
        </w:rPr>
        <w:t xml:space="preserve"> емисије </w:t>
      </w:r>
      <w:r w:rsidRPr="00833B6C">
        <w:rPr>
          <w:bCs/>
          <w:lang w:val="sr-Latn-RS"/>
        </w:rPr>
        <w:t>CO</w:t>
      </w:r>
      <w:r w:rsidRPr="00833B6C">
        <w:rPr>
          <w:bCs/>
          <w:vertAlign w:val="subscript"/>
          <w:lang w:val="sr-Latn-RS"/>
        </w:rPr>
        <w:t>2</w:t>
      </w:r>
      <w:r w:rsidRPr="00833B6C">
        <w:rPr>
          <w:bCs/>
          <w:lang w:val="sr-Latn-RS"/>
        </w:rPr>
        <w:t xml:space="preserve"> </w:t>
      </w:r>
      <w:r w:rsidRPr="00833B6C">
        <w:rPr>
          <w:bCs/>
          <w:lang w:val="sr-Cyrl-RS"/>
        </w:rPr>
        <w:t xml:space="preserve">и смањења загађења ваздуха на територији Града Ниша, </w:t>
      </w:r>
      <w:r w:rsidR="00303662">
        <w:rPr>
          <w:bCs/>
          <w:lang w:val="sr-Cyrl-RS"/>
        </w:rPr>
        <w:t>одлучено је</w:t>
      </w:r>
      <w:r w:rsidRPr="00833B6C">
        <w:rPr>
          <w:bCs/>
          <w:lang w:val="sr-Cyrl-RS"/>
        </w:rPr>
        <w:t xml:space="preserve"> као у диспозитиву</w:t>
      </w:r>
      <w:r w:rsidR="00303662">
        <w:rPr>
          <w:bCs/>
          <w:lang w:val="sr-Cyrl-RS"/>
        </w:rPr>
        <w:t xml:space="preserve"> овог решења</w:t>
      </w:r>
      <w:r w:rsidRPr="00833B6C">
        <w:rPr>
          <w:bCs/>
          <w:lang w:val="sr-Cyrl-RS"/>
        </w:rPr>
        <w:t>.</w:t>
      </w:r>
    </w:p>
    <w:p w:rsidR="00833B6C" w:rsidRPr="00833B6C" w:rsidRDefault="00833B6C" w:rsidP="001E62CD">
      <w:pPr>
        <w:jc w:val="both"/>
        <w:rPr>
          <w:lang w:val="sr-Cyrl-CS"/>
        </w:rPr>
      </w:pPr>
    </w:p>
    <w:p w:rsidR="00833B6C" w:rsidRPr="00833B6C" w:rsidRDefault="00833B6C" w:rsidP="00833B6C">
      <w:pPr>
        <w:rPr>
          <w:lang w:val="sr-Cyrl-RS" w:eastAsia="ar-SA"/>
        </w:rPr>
      </w:pPr>
      <w:r w:rsidRPr="00833B6C">
        <w:rPr>
          <w:lang w:val="sr-Cyrl-RS" w:eastAsia="ar-SA"/>
        </w:rPr>
        <w:t>Припрема: Виолета Тесла</w:t>
      </w:r>
    </w:p>
    <w:p w:rsidR="00833B6C" w:rsidRPr="00833B6C" w:rsidRDefault="00833B6C" w:rsidP="00833B6C">
      <w:pPr>
        <w:suppressAutoHyphens/>
        <w:ind w:left="1276" w:hanging="1276"/>
        <w:jc w:val="both"/>
        <w:rPr>
          <w:b/>
          <w:lang w:val="sr-Cyrl-RS" w:eastAsia="ar-SA"/>
        </w:rPr>
      </w:pPr>
    </w:p>
    <w:p w:rsidR="00833B6C" w:rsidRPr="00833B6C" w:rsidRDefault="00833B6C" w:rsidP="00833B6C">
      <w:pPr>
        <w:suppressAutoHyphens/>
        <w:autoSpaceDE w:val="0"/>
        <w:ind w:left="3686" w:right="56"/>
        <w:jc w:val="center"/>
        <w:rPr>
          <w:b/>
          <w:lang w:eastAsia="ar-SA"/>
        </w:rPr>
      </w:pPr>
      <w:r w:rsidRPr="00833B6C">
        <w:rPr>
          <w:b/>
          <w:lang w:val="sr-Cyrl-RS" w:eastAsia="ar-SA"/>
        </w:rPr>
        <w:t xml:space="preserve">                                              ДИРЕКТОР</w:t>
      </w:r>
    </w:p>
    <w:p w:rsidR="00833B6C" w:rsidRPr="00833B6C" w:rsidRDefault="00833B6C" w:rsidP="00833B6C">
      <w:pPr>
        <w:suppressAutoHyphens/>
        <w:autoSpaceDE w:val="0"/>
        <w:ind w:left="3686" w:right="56"/>
        <w:jc w:val="center"/>
        <w:rPr>
          <w:b/>
          <w:lang w:eastAsia="ar-SA"/>
        </w:rPr>
      </w:pPr>
    </w:p>
    <w:p w:rsidR="00833B6C" w:rsidRPr="007811E0" w:rsidRDefault="00833B6C" w:rsidP="00303662">
      <w:pPr>
        <w:suppressAutoHyphens/>
        <w:autoSpaceDE w:val="0"/>
        <w:ind w:left="3686" w:right="56"/>
        <w:jc w:val="center"/>
        <w:rPr>
          <w:sz w:val="25"/>
          <w:szCs w:val="25"/>
          <w:lang w:val="sr-Cyrl-CS"/>
        </w:rPr>
      </w:pPr>
      <w:r w:rsidRPr="00833B6C">
        <w:rPr>
          <w:b/>
          <w:lang w:eastAsia="ar-SA"/>
        </w:rPr>
        <w:t xml:space="preserve">                             </w:t>
      </w:r>
      <w:r w:rsidRPr="00833B6C">
        <w:rPr>
          <w:lang w:val="sr-Cyrl-RS" w:eastAsia="ar-SA"/>
        </w:rPr>
        <w:t xml:space="preserve"> </w:t>
      </w:r>
      <w:r w:rsidRPr="00833B6C">
        <w:rPr>
          <w:lang w:eastAsia="ar-SA"/>
        </w:rPr>
        <w:t xml:space="preserve">         </w:t>
      </w:r>
      <w:r w:rsidRPr="00833B6C">
        <w:rPr>
          <w:lang w:val="sr-Cyrl-RS" w:eastAsia="ar-SA"/>
        </w:rPr>
        <w:t xml:space="preserve">    </w:t>
      </w:r>
      <w:r w:rsidRPr="00833B6C">
        <w:rPr>
          <w:lang w:eastAsia="ar-SA"/>
        </w:rPr>
        <w:t xml:space="preserve">  </w:t>
      </w:r>
      <w:r w:rsidRPr="00833B6C">
        <w:rPr>
          <w:lang w:val="sr-Cyrl-RS" w:eastAsia="ar-SA"/>
        </w:rPr>
        <w:t>Душан Радивојевић</w:t>
      </w:r>
    </w:p>
    <w:sectPr w:rsidR="00833B6C" w:rsidRPr="007811E0" w:rsidSect="00303662">
      <w:pgSz w:w="12240" w:h="15840"/>
      <w:pgMar w:top="1135" w:right="1325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C41"/>
    <w:multiLevelType w:val="hybridMultilevel"/>
    <w:tmpl w:val="4CBA05E4"/>
    <w:lvl w:ilvl="0" w:tplc="F9B67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6185"/>
    <w:multiLevelType w:val="hybridMultilevel"/>
    <w:tmpl w:val="697AD550"/>
    <w:lvl w:ilvl="0" w:tplc="556A53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847AFB"/>
    <w:multiLevelType w:val="hybridMultilevel"/>
    <w:tmpl w:val="7FB47A2C"/>
    <w:lvl w:ilvl="0" w:tplc="F9F0F3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6C8F"/>
    <w:multiLevelType w:val="hybridMultilevel"/>
    <w:tmpl w:val="FA729D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614F44"/>
    <w:multiLevelType w:val="hybridMultilevel"/>
    <w:tmpl w:val="36F0F0DC"/>
    <w:lvl w:ilvl="0" w:tplc="0F601C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315B"/>
    <w:multiLevelType w:val="hybridMultilevel"/>
    <w:tmpl w:val="36C8EADA"/>
    <w:lvl w:ilvl="0" w:tplc="73667B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A794E"/>
    <w:multiLevelType w:val="hybridMultilevel"/>
    <w:tmpl w:val="0A187C52"/>
    <w:lvl w:ilvl="0" w:tplc="ADD0AF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26383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0334"/>
    <w:rsid w:val="000A448A"/>
    <w:rsid w:val="000A4DEF"/>
    <w:rsid w:val="000B73A7"/>
    <w:rsid w:val="000C74DC"/>
    <w:rsid w:val="000F2332"/>
    <w:rsid w:val="000F6791"/>
    <w:rsid w:val="001004EF"/>
    <w:rsid w:val="00115303"/>
    <w:rsid w:val="00120EF2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80C7A"/>
    <w:rsid w:val="00196DEF"/>
    <w:rsid w:val="001A25D0"/>
    <w:rsid w:val="001B0C5E"/>
    <w:rsid w:val="001B42BE"/>
    <w:rsid w:val="001C3618"/>
    <w:rsid w:val="001D1F24"/>
    <w:rsid w:val="001E0FA2"/>
    <w:rsid w:val="001E29FF"/>
    <w:rsid w:val="001E62CD"/>
    <w:rsid w:val="00202AE3"/>
    <w:rsid w:val="002033B8"/>
    <w:rsid w:val="0020639B"/>
    <w:rsid w:val="00206EB7"/>
    <w:rsid w:val="0021635B"/>
    <w:rsid w:val="00216898"/>
    <w:rsid w:val="002201FF"/>
    <w:rsid w:val="002233EA"/>
    <w:rsid w:val="00233230"/>
    <w:rsid w:val="00237B4C"/>
    <w:rsid w:val="00241027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C6EAE"/>
    <w:rsid w:val="002F1F66"/>
    <w:rsid w:val="002F25C8"/>
    <w:rsid w:val="002F41EF"/>
    <w:rsid w:val="002F61C0"/>
    <w:rsid w:val="00303662"/>
    <w:rsid w:val="003149A8"/>
    <w:rsid w:val="00322312"/>
    <w:rsid w:val="00322613"/>
    <w:rsid w:val="00323110"/>
    <w:rsid w:val="0032403E"/>
    <w:rsid w:val="00334339"/>
    <w:rsid w:val="00336EA0"/>
    <w:rsid w:val="0034552C"/>
    <w:rsid w:val="00346509"/>
    <w:rsid w:val="00346939"/>
    <w:rsid w:val="00350933"/>
    <w:rsid w:val="00350BE9"/>
    <w:rsid w:val="00355177"/>
    <w:rsid w:val="00355550"/>
    <w:rsid w:val="00356B03"/>
    <w:rsid w:val="00363767"/>
    <w:rsid w:val="003714A8"/>
    <w:rsid w:val="00380A3D"/>
    <w:rsid w:val="00385AED"/>
    <w:rsid w:val="003904A2"/>
    <w:rsid w:val="0039454C"/>
    <w:rsid w:val="003A64B7"/>
    <w:rsid w:val="003A7D36"/>
    <w:rsid w:val="003C0A52"/>
    <w:rsid w:val="003D13DF"/>
    <w:rsid w:val="003D7249"/>
    <w:rsid w:val="003D77BB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0548B"/>
    <w:rsid w:val="00411ABC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00FF"/>
    <w:rsid w:val="0059276C"/>
    <w:rsid w:val="00592CCD"/>
    <w:rsid w:val="005A2E1B"/>
    <w:rsid w:val="005A6840"/>
    <w:rsid w:val="005B1861"/>
    <w:rsid w:val="005B7D91"/>
    <w:rsid w:val="005C1F6F"/>
    <w:rsid w:val="005C5DFF"/>
    <w:rsid w:val="005D2765"/>
    <w:rsid w:val="005D718F"/>
    <w:rsid w:val="005E79F9"/>
    <w:rsid w:val="005F05BE"/>
    <w:rsid w:val="005F0939"/>
    <w:rsid w:val="00600703"/>
    <w:rsid w:val="00600A86"/>
    <w:rsid w:val="006049E1"/>
    <w:rsid w:val="00610BE5"/>
    <w:rsid w:val="00617CAA"/>
    <w:rsid w:val="00621F11"/>
    <w:rsid w:val="00624AF1"/>
    <w:rsid w:val="00635A5A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D5473"/>
    <w:rsid w:val="006E204F"/>
    <w:rsid w:val="006E6E1F"/>
    <w:rsid w:val="006F37CB"/>
    <w:rsid w:val="00700AB1"/>
    <w:rsid w:val="007064C9"/>
    <w:rsid w:val="007100EB"/>
    <w:rsid w:val="00712940"/>
    <w:rsid w:val="00716C4A"/>
    <w:rsid w:val="007171B0"/>
    <w:rsid w:val="0073520A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11E0"/>
    <w:rsid w:val="007877EA"/>
    <w:rsid w:val="00787AB7"/>
    <w:rsid w:val="00796B67"/>
    <w:rsid w:val="007A3FAC"/>
    <w:rsid w:val="007B493F"/>
    <w:rsid w:val="007B7116"/>
    <w:rsid w:val="007B75A8"/>
    <w:rsid w:val="007B7956"/>
    <w:rsid w:val="007C234D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3B6C"/>
    <w:rsid w:val="00834CF2"/>
    <w:rsid w:val="00843C89"/>
    <w:rsid w:val="00845F6B"/>
    <w:rsid w:val="008505BA"/>
    <w:rsid w:val="00853183"/>
    <w:rsid w:val="0086649F"/>
    <w:rsid w:val="0089438F"/>
    <w:rsid w:val="008B01EC"/>
    <w:rsid w:val="008B5FD5"/>
    <w:rsid w:val="008C73A9"/>
    <w:rsid w:val="008D34BE"/>
    <w:rsid w:val="008E28D0"/>
    <w:rsid w:val="008F297F"/>
    <w:rsid w:val="008F3DA2"/>
    <w:rsid w:val="008F64CF"/>
    <w:rsid w:val="008F7183"/>
    <w:rsid w:val="008F72F9"/>
    <w:rsid w:val="00904C65"/>
    <w:rsid w:val="00916193"/>
    <w:rsid w:val="00925AC1"/>
    <w:rsid w:val="00931003"/>
    <w:rsid w:val="009351A8"/>
    <w:rsid w:val="00950C15"/>
    <w:rsid w:val="00951FF6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004D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243F"/>
    <w:rsid w:val="00A62714"/>
    <w:rsid w:val="00A67626"/>
    <w:rsid w:val="00A73E95"/>
    <w:rsid w:val="00A82286"/>
    <w:rsid w:val="00A90F6A"/>
    <w:rsid w:val="00A92BAC"/>
    <w:rsid w:val="00A931E2"/>
    <w:rsid w:val="00A97D5B"/>
    <w:rsid w:val="00AB2F6F"/>
    <w:rsid w:val="00AB6635"/>
    <w:rsid w:val="00AC36CE"/>
    <w:rsid w:val="00AC3AEB"/>
    <w:rsid w:val="00AD1702"/>
    <w:rsid w:val="00AD4942"/>
    <w:rsid w:val="00AD52AB"/>
    <w:rsid w:val="00AF61C3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A5639"/>
    <w:rsid w:val="00BC08A2"/>
    <w:rsid w:val="00BC1AB3"/>
    <w:rsid w:val="00BD1A00"/>
    <w:rsid w:val="00BD7E34"/>
    <w:rsid w:val="00BE6E6A"/>
    <w:rsid w:val="00BF0789"/>
    <w:rsid w:val="00BF3AB4"/>
    <w:rsid w:val="00BF7F81"/>
    <w:rsid w:val="00C02674"/>
    <w:rsid w:val="00C03880"/>
    <w:rsid w:val="00C0405C"/>
    <w:rsid w:val="00C051EA"/>
    <w:rsid w:val="00C16E73"/>
    <w:rsid w:val="00C2239C"/>
    <w:rsid w:val="00C24896"/>
    <w:rsid w:val="00C260CF"/>
    <w:rsid w:val="00C34F87"/>
    <w:rsid w:val="00C36486"/>
    <w:rsid w:val="00C377D9"/>
    <w:rsid w:val="00C469EA"/>
    <w:rsid w:val="00C67A25"/>
    <w:rsid w:val="00C77EA2"/>
    <w:rsid w:val="00C90507"/>
    <w:rsid w:val="00CA49C9"/>
    <w:rsid w:val="00CB05AF"/>
    <w:rsid w:val="00CB2049"/>
    <w:rsid w:val="00CC4ED1"/>
    <w:rsid w:val="00CD517F"/>
    <w:rsid w:val="00CE1735"/>
    <w:rsid w:val="00CE7CD8"/>
    <w:rsid w:val="00D05061"/>
    <w:rsid w:val="00D05ED6"/>
    <w:rsid w:val="00D06C41"/>
    <w:rsid w:val="00D16530"/>
    <w:rsid w:val="00D2199C"/>
    <w:rsid w:val="00D23FF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8183E"/>
    <w:rsid w:val="00D834C8"/>
    <w:rsid w:val="00D917DC"/>
    <w:rsid w:val="00D96603"/>
    <w:rsid w:val="00D9720F"/>
    <w:rsid w:val="00DA76E2"/>
    <w:rsid w:val="00DB7F43"/>
    <w:rsid w:val="00DE257B"/>
    <w:rsid w:val="00DE7950"/>
    <w:rsid w:val="00DF1D4C"/>
    <w:rsid w:val="00DF28B3"/>
    <w:rsid w:val="00DF2A3B"/>
    <w:rsid w:val="00DF3455"/>
    <w:rsid w:val="00DF4312"/>
    <w:rsid w:val="00E024BB"/>
    <w:rsid w:val="00E05614"/>
    <w:rsid w:val="00E14F9E"/>
    <w:rsid w:val="00E17D71"/>
    <w:rsid w:val="00E20060"/>
    <w:rsid w:val="00E365AD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476E"/>
    <w:rsid w:val="00EA6C80"/>
    <w:rsid w:val="00EC55C7"/>
    <w:rsid w:val="00EF50AF"/>
    <w:rsid w:val="00EF52CA"/>
    <w:rsid w:val="00EF67DA"/>
    <w:rsid w:val="00F041B5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92E57"/>
    <w:rsid w:val="00FA13DB"/>
    <w:rsid w:val="00FA2522"/>
    <w:rsid w:val="00FB2E49"/>
    <w:rsid w:val="00FB4671"/>
    <w:rsid w:val="00FB7DB3"/>
    <w:rsid w:val="00FC00CC"/>
    <w:rsid w:val="00FC02AD"/>
    <w:rsid w:val="00FD63E4"/>
    <w:rsid w:val="00FE0A88"/>
    <w:rsid w:val="00FE220F"/>
    <w:rsid w:val="00FE498D"/>
    <w:rsid w:val="00FE516A"/>
    <w:rsid w:val="00FE600B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6B68-AFAA-4147-AC46-38A7CA8A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Violeta Tesla</cp:lastModifiedBy>
  <cp:revision>3</cp:revision>
  <cp:lastPrinted>2021-04-14T09:59:00Z</cp:lastPrinted>
  <dcterms:created xsi:type="dcterms:W3CDTF">2021-04-14T10:01:00Z</dcterms:created>
  <dcterms:modified xsi:type="dcterms:W3CDTF">2021-04-14T10:23:00Z</dcterms:modified>
</cp:coreProperties>
</file>