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EA5" w:rsidRPr="00440058" w:rsidRDefault="00541EA5" w:rsidP="00541EA5">
      <w:pPr>
        <w:ind w:firstLine="708"/>
        <w:jc w:val="both"/>
        <w:rPr>
          <w:color w:val="000000" w:themeColor="text1"/>
          <w:sz w:val="28"/>
          <w:szCs w:val="28"/>
          <w:lang w:val="sr-Cyrl-RS"/>
        </w:rPr>
      </w:pPr>
      <w:r w:rsidRPr="00440058">
        <w:rPr>
          <w:color w:val="000000" w:themeColor="text1"/>
          <w:sz w:val="28"/>
          <w:szCs w:val="28"/>
        </w:rPr>
        <w:t>На основу члана 97. став 7. Закона о планирању и изградњи ("Службени гласник РС", бр. 72/09, 81/09 - исправка, 64/10 - одлука УС, 24/11, 121/12, 42/13 - одлука УС, 50/13 - одлука УС, 98/13 - одлука УС, 132/14</w:t>
      </w:r>
      <w:r w:rsidRPr="00440058">
        <w:rPr>
          <w:color w:val="000000" w:themeColor="text1"/>
          <w:sz w:val="28"/>
          <w:szCs w:val="28"/>
          <w:lang w:val="sr-Cyrl-RS"/>
        </w:rPr>
        <w:t>,</w:t>
      </w:r>
      <w:r w:rsidRPr="00440058">
        <w:rPr>
          <w:color w:val="000000" w:themeColor="text1"/>
          <w:sz w:val="28"/>
          <w:szCs w:val="28"/>
        </w:rPr>
        <w:t xml:space="preserve"> 145/14 и 83/2018) и члана 37. Статута Града Ниша ("Службени лист Града Ниша", бр. 88/2008 и 143/2016),</w:t>
      </w:r>
    </w:p>
    <w:p w:rsidR="001122F2" w:rsidRDefault="00541EA5" w:rsidP="00541EA5">
      <w:pPr>
        <w:ind w:firstLine="708"/>
        <w:jc w:val="both"/>
        <w:rPr>
          <w:color w:val="000000" w:themeColor="text1"/>
          <w:sz w:val="28"/>
          <w:szCs w:val="28"/>
          <w:lang w:val="sr-Cyrl-RS"/>
        </w:rPr>
      </w:pPr>
      <w:r w:rsidRPr="00440058">
        <w:rPr>
          <w:color w:val="000000" w:themeColor="text1"/>
          <w:sz w:val="28"/>
          <w:szCs w:val="28"/>
        </w:rPr>
        <w:t xml:space="preserve">Скупштина Града Ниша, на седници одржаној </w:t>
      </w:r>
      <w:r w:rsidRPr="00440058">
        <w:rPr>
          <w:color w:val="000000" w:themeColor="text1"/>
          <w:sz w:val="28"/>
          <w:szCs w:val="28"/>
          <w:lang w:val="sr-Cyrl-RS"/>
        </w:rPr>
        <w:t>_______</w:t>
      </w:r>
      <w:r w:rsidRPr="00440058">
        <w:rPr>
          <w:color w:val="000000" w:themeColor="text1"/>
          <w:sz w:val="28"/>
          <w:szCs w:val="28"/>
        </w:rPr>
        <w:t>2019. године, донела је</w:t>
      </w:r>
    </w:p>
    <w:p w:rsidR="00541EA5" w:rsidRPr="00440058" w:rsidRDefault="00541EA5" w:rsidP="00541EA5">
      <w:pPr>
        <w:ind w:firstLine="708"/>
        <w:jc w:val="both"/>
        <w:rPr>
          <w:color w:val="000000" w:themeColor="text1"/>
          <w:sz w:val="28"/>
          <w:szCs w:val="28"/>
        </w:rPr>
      </w:pPr>
      <w:r w:rsidRPr="00440058">
        <w:rPr>
          <w:color w:val="000000" w:themeColor="text1"/>
          <w:sz w:val="28"/>
          <w:szCs w:val="28"/>
        </w:rPr>
        <w:t xml:space="preserve"> </w:t>
      </w:r>
    </w:p>
    <w:p w:rsidR="00541EA5" w:rsidRPr="00440058" w:rsidRDefault="00541EA5" w:rsidP="00541EA5">
      <w:pPr>
        <w:rPr>
          <w:b/>
          <w:color w:val="000000" w:themeColor="text1"/>
          <w:sz w:val="28"/>
          <w:szCs w:val="28"/>
          <w:lang w:val="sr-Cyrl-RS"/>
        </w:rPr>
      </w:pPr>
    </w:p>
    <w:p w:rsidR="00541EA5" w:rsidRDefault="008B201A" w:rsidP="00541EA5">
      <w:pPr>
        <w:jc w:val="center"/>
        <w:rPr>
          <w:b/>
          <w:color w:val="000000" w:themeColor="text1"/>
          <w:sz w:val="28"/>
          <w:szCs w:val="28"/>
          <w:lang w:val="sr-Cyrl-RS"/>
        </w:rPr>
      </w:pPr>
      <w:r w:rsidRPr="00440058">
        <w:rPr>
          <w:b/>
          <w:color w:val="000000" w:themeColor="text1"/>
          <w:sz w:val="28"/>
          <w:szCs w:val="28"/>
        </w:rPr>
        <w:t>ОДЛУKУ О ИЗМЕН</w:t>
      </w:r>
      <w:r w:rsidRPr="00440058">
        <w:rPr>
          <w:b/>
          <w:color w:val="000000" w:themeColor="text1"/>
          <w:sz w:val="28"/>
          <w:szCs w:val="28"/>
          <w:lang w:val="sr-Cyrl-RS"/>
        </w:rPr>
        <w:t>АМА</w:t>
      </w:r>
      <w:r w:rsidRPr="00440058">
        <w:rPr>
          <w:b/>
          <w:color w:val="000000" w:themeColor="text1"/>
          <w:sz w:val="28"/>
          <w:szCs w:val="28"/>
        </w:rPr>
        <w:t xml:space="preserve"> И ДОПУН</w:t>
      </w:r>
      <w:r w:rsidRPr="00440058">
        <w:rPr>
          <w:b/>
          <w:color w:val="000000" w:themeColor="text1"/>
          <w:sz w:val="28"/>
          <w:szCs w:val="28"/>
          <w:lang w:val="sr-Cyrl-RS"/>
        </w:rPr>
        <w:t>АМА</w:t>
      </w:r>
      <w:r w:rsidR="00541EA5" w:rsidRPr="00440058">
        <w:rPr>
          <w:b/>
          <w:color w:val="000000" w:themeColor="text1"/>
          <w:sz w:val="28"/>
          <w:szCs w:val="28"/>
        </w:rPr>
        <w:t xml:space="preserve"> ОДЛУKЕ О УТВРЂИВАЊУ ДОПРИНОСА ЗА УРЕЂИВАЊЕ ГРАЂЕВИНСKОГ ЗЕМЉИШТА</w:t>
      </w:r>
    </w:p>
    <w:p w:rsidR="001122F2" w:rsidRPr="001122F2" w:rsidRDefault="001122F2" w:rsidP="00541EA5">
      <w:pPr>
        <w:jc w:val="center"/>
        <w:rPr>
          <w:b/>
          <w:color w:val="000000" w:themeColor="text1"/>
          <w:sz w:val="28"/>
          <w:szCs w:val="28"/>
          <w:lang w:val="sr-Cyrl-RS" w:eastAsia="sr-Latn-CS"/>
        </w:rPr>
      </w:pPr>
    </w:p>
    <w:p w:rsidR="00541EA5" w:rsidRPr="00440058" w:rsidRDefault="00541EA5" w:rsidP="00541EA5">
      <w:pPr>
        <w:spacing w:before="240" w:after="120"/>
        <w:jc w:val="center"/>
        <w:rPr>
          <w:bCs/>
          <w:color w:val="000000" w:themeColor="text1"/>
          <w:sz w:val="28"/>
          <w:szCs w:val="28"/>
          <w:lang w:eastAsia="sr-Latn-CS"/>
        </w:rPr>
      </w:pPr>
      <w:bookmarkStart w:id="0" w:name="clan_1"/>
      <w:bookmarkEnd w:id="0"/>
      <w:r w:rsidRPr="00440058">
        <w:rPr>
          <w:b/>
          <w:bCs/>
          <w:color w:val="000000" w:themeColor="text1"/>
          <w:sz w:val="28"/>
          <w:szCs w:val="28"/>
          <w:lang w:eastAsia="sr-Latn-CS"/>
        </w:rPr>
        <w:t>Члан 1</w:t>
      </w:r>
      <w:r w:rsidRPr="00440058">
        <w:rPr>
          <w:b/>
          <w:bCs/>
          <w:color w:val="000000" w:themeColor="text1"/>
          <w:sz w:val="28"/>
          <w:szCs w:val="28"/>
          <w:lang w:val="sr-Cyrl-RS" w:eastAsia="sr-Latn-CS"/>
        </w:rPr>
        <w:t>.</w:t>
      </w:r>
      <w:r w:rsidRPr="00440058">
        <w:rPr>
          <w:bCs/>
          <w:color w:val="000000" w:themeColor="text1"/>
          <w:sz w:val="28"/>
          <w:szCs w:val="28"/>
          <w:lang w:eastAsia="sr-Latn-CS"/>
        </w:rPr>
        <w:t> </w:t>
      </w:r>
    </w:p>
    <w:p w:rsidR="003275E3" w:rsidRPr="00440058" w:rsidRDefault="00541EA5" w:rsidP="003275E3">
      <w:pPr>
        <w:spacing w:before="100" w:beforeAutospacing="1" w:after="100" w:afterAutospacing="1"/>
        <w:ind w:firstLine="708"/>
        <w:jc w:val="both"/>
        <w:rPr>
          <w:color w:val="000000" w:themeColor="text1"/>
          <w:sz w:val="28"/>
          <w:szCs w:val="28"/>
          <w:lang w:val="sr-Cyrl-RS" w:eastAsia="sr-Latn-CS"/>
        </w:rPr>
      </w:pPr>
      <w:r w:rsidRPr="00440058">
        <w:rPr>
          <w:color w:val="000000" w:themeColor="text1"/>
          <w:sz w:val="28"/>
          <w:szCs w:val="28"/>
          <w:lang w:val="sr-Cyrl-RS" w:eastAsia="sr-Latn-CS"/>
        </w:rPr>
        <w:t>У Одлуци о утврђивању доприноса за уређивање грађевинско</w:t>
      </w:r>
      <w:r w:rsidR="003275E3" w:rsidRPr="00440058">
        <w:rPr>
          <w:color w:val="000000" w:themeColor="text1"/>
          <w:sz w:val="28"/>
          <w:szCs w:val="28"/>
          <w:lang w:val="sr-Cyrl-RS" w:eastAsia="sr-Latn-CS"/>
        </w:rPr>
        <w:t xml:space="preserve">г земљишта („Службени </w:t>
      </w:r>
      <w:r w:rsidR="001F4319" w:rsidRPr="00440058">
        <w:rPr>
          <w:color w:val="000000" w:themeColor="text1"/>
          <w:sz w:val="28"/>
          <w:szCs w:val="28"/>
          <w:lang w:val="sr-Cyrl-RS" w:eastAsia="sr-Latn-CS"/>
        </w:rPr>
        <w:t>лист града Ниша</w:t>
      </w:r>
      <w:r w:rsidR="00217E69">
        <w:rPr>
          <w:color w:val="000000" w:themeColor="text1"/>
          <w:sz w:val="28"/>
          <w:szCs w:val="28"/>
          <w:lang w:val="sr-Latn-RS" w:eastAsia="sr-Latn-CS"/>
        </w:rPr>
        <w:t>“,</w:t>
      </w:r>
      <w:r w:rsidRPr="00440058">
        <w:rPr>
          <w:color w:val="000000" w:themeColor="text1"/>
          <w:sz w:val="28"/>
          <w:szCs w:val="28"/>
          <w:lang w:val="sr-Cyrl-RS" w:eastAsia="sr-Latn-CS"/>
        </w:rPr>
        <w:t xml:space="preserve"> бр. </w:t>
      </w:r>
      <w:r w:rsidRPr="00440058">
        <w:rPr>
          <w:bCs/>
          <w:color w:val="000000" w:themeColor="text1"/>
          <w:sz w:val="28"/>
          <w:szCs w:val="28"/>
        </w:rPr>
        <w:t>139/2017 и 126/2018)</w:t>
      </w:r>
      <w:r w:rsidRPr="00440058">
        <w:rPr>
          <w:bCs/>
          <w:color w:val="000000" w:themeColor="text1"/>
          <w:sz w:val="28"/>
          <w:szCs w:val="28"/>
          <w:lang w:val="sr-Cyrl-RS"/>
        </w:rPr>
        <w:t>,</w:t>
      </w:r>
      <w:r w:rsidRPr="00440058">
        <w:rPr>
          <w:color w:val="000000" w:themeColor="text1"/>
          <w:sz w:val="28"/>
          <w:szCs w:val="28"/>
          <w:lang w:val="sr-Cyrl-RS" w:eastAsia="sr-Latn-CS"/>
        </w:rPr>
        <w:t xml:space="preserve"> члан 1</w:t>
      </w:r>
      <w:r w:rsidRPr="00440058">
        <w:rPr>
          <w:color w:val="000000" w:themeColor="text1"/>
          <w:sz w:val="28"/>
          <w:szCs w:val="28"/>
          <w:lang w:eastAsia="sr-Latn-CS"/>
        </w:rPr>
        <w:t>3</w:t>
      </w:r>
      <w:r w:rsidR="003C53AB" w:rsidRPr="00440058">
        <w:rPr>
          <w:color w:val="000000" w:themeColor="text1"/>
          <w:sz w:val="28"/>
          <w:szCs w:val="28"/>
          <w:lang w:val="sr-Cyrl-RS" w:eastAsia="sr-Latn-CS"/>
        </w:rPr>
        <w:t>.</w:t>
      </w:r>
      <w:r w:rsidRPr="00440058">
        <w:rPr>
          <w:color w:val="000000" w:themeColor="text1"/>
          <w:sz w:val="28"/>
          <w:szCs w:val="28"/>
          <w:lang w:val="sr-Cyrl-RS" w:eastAsia="sr-Latn-CS"/>
        </w:rPr>
        <w:t xml:space="preserve"> став 1, мења се и гласи: </w:t>
      </w:r>
    </w:p>
    <w:p w:rsidR="00541EA5" w:rsidRPr="00440058" w:rsidRDefault="00541EA5" w:rsidP="003275E3">
      <w:pPr>
        <w:spacing w:before="100" w:beforeAutospacing="1" w:after="100" w:afterAutospacing="1"/>
        <w:ind w:firstLine="708"/>
        <w:jc w:val="both"/>
        <w:rPr>
          <w:color w:val="000000" w:themeColor="text1"/>
          <w:sz w:val="28"/>
          <w:szCs w:val="28"/>
          <w:lang w:val="sr-Cyrl-RS" w:eastAsia="sr-Latn-CS"/>
        </w:rPr>
      </w:pPr>
      <w:r w:rsidRPr="00440058">
        <w:rPr>
          <w:color w:val="000000" w:themeColor="text1"/>
          <w:sz w:val="28"/>
          <w:szCs w:val="28"/>
          <w:lang w:val="sr-Cyrl-RS" w:eastAsia="sr-Latn-CS"/>
        </w:rPr>
        <w:t>„</w:t>
      </w:r>
      <w:r w:rsidRPr="00440058">
        <w:rPr>
          <w:color w:val="000000" w:themeColor="text1"/>
          <w:sz w:val="28"/>
          <w:szCs w:val="28"/>
          <w:lang w:eastAsia="sr-Latn-CS"/>
        </w:rPr>
        <w:t xml:space="preserve">Допринос за уређивање грађевинског земљишта не обухвата накнаду за промену намене пољопривредног земљишта, накнаду за уређење партера (пројектовање и извођење радова), трошкове измештања подземних инсталација, трошкове електродистрибутивне мреже и објеката, ТТ мреже и објеката, кабловске дистрибутивне системе, </w:t>
      </w:r>
      <w:r w:rsidRPr="00440058">
        <w:rPr>
          <w:color w:val="000000" w:themeColor="text1"/>
          <w:sz w:val="28"/>
          <w:szCs w:val="28"/>
          <w:lang w:val="sr-Cyrl-RS" w:eastAsia="sr-Latn-CS"/>
        </w:rPr>
        <w:t>мреже и објекте</w:t>
      </w:r>
      <w:r w:rsidRPr="00440058">
        <w:rPr>
          <w:color w:val="000000" w:themeColor="text1"/>
          <w:sz w:val="28"/>
          <w:szCs w:val="28"/>
          <w:lang w:eastAsia="sr-Latn-CS"/>
        </w:rPr>
        <w:t xml:space="preserve"> гасификације.</w:t>
      </w:r>
      <w:r w:rsidR="003C53AB" w:rsidRPr="00440058">
        <w:rPr>
          <w:color w:val="000000" w:themeColor="text1"/>
          <w:sz w:val="28"/>
          <w:szCs w:val="28"/>
          <w:lang w:val="sr-Cyrl-RS" w:eastAsia="sr-Latn-CS"/>
        </w:rPr>
        <w:t>“</w:t>
      </w:r>
    </w:p>
    <w:p w:rsidR="00541EA5" w:rsidRPr="00440058" w:rsidRDefault="00541EA5" w:rsidP="00541EA5">
      <w:pPr>
        <w:spacing w:before="240" w:after="240"/>
        <w:jc w:val="center"/>
        <w:rPr>
          <w:b/>
          <w:color w:val="000000" w:themeColor="text1"/>
          <w:sz w:val="28"/>
          <w:szCs w:val="28"/>
          <w:lang w:val="sr-Cyrl-RS" w:eastAsia="sr-Latn-CS"/>
        </w:rPr>
      </w:pPr>
      <w:bookmarkStart w:id="1" w:name="str_3"/>
      <w:bookmarkEnd w:id="1"/>
      <w:r w:rsidRPr="00440058">
        <w:rPr>
          <w:b/>
          <w:color w:val="000000" w:themeColor="text1"/>
          <w:sz w:val="28"/>
          <w:szCs w:val="28"/>
          <w:lang w:val="sr-Cyrl-RS" w:eastAsia="sr-Latn-CS"/>
        </w:rPr>
        <w:t>Члан 2.</w:t>
      </w:r>
    </w:p>
    <w:p w:rsidR="00541EA5" w:rsidRPr="00440058" w:rsidRDefault="00541EA5" w:rsidP="00541EA5">
      <w:pPr>
        <w:spacing w:before="100" w:beforeAutospacing="1" w:after="100" w:afterAutospacing="1"/>
        <w:ind w:firstLine="708"/>
        <w:rPr>
          <w:color w:val="000000" w:themeColor="text1"/>
          <w:sz w:val="28"/>
          <w:szCs w:val="28"/>
          <w:lang w:val="sr-Cyrl-RS" w:eastAsia="sr-Latn-CS"/>
        </w:rPr>
      </w:pPr>
      <w:bookmarkStart w:id="2" w:name="str_8"/>
      <w:bookmarkEnd w:id="2"/>
      <w:r w:rsidRPr="00440058">
        <w:rPr>
          <w:color w:val="000000" w:themeColor="text1"/>
          <w:sz w:val="28"/>
          <w:szCs w:val="28"/>
          <w:lang w:val="sr-Cyrl-RS" w:eastAsia="sr-Latn-CS"/>
        </w:rPr>
        <w:t xml:space="preserve">У члану 18. </w:t>
      </w:r>
      <w:r w:rsidR="003C53AB" w:rsidRPr="00440058">
        <w:rPr>
          <w:color w:val="000000" w:themeColor="text1"/>
          <w:sz w:val="28"/>
          <w:szCs w:val="28"/>
          <w:lang w:val="sr-Cyrl-RS" w:eastAsia="sr-Latn-CS"/>
        </w:rPr>
        <w:t>став 2</w:t>
      </w:r>
      <w:r w:rsidR="006819BB" w:rsidRPr="00440058">
        <w:rPr>
          <w:color w:val="000000" w:themeColor="text1"/>
          <w:sz w:val="28"/>
          <w:szCs w:val="28"/>
          <w:lang w:val="sr-Latn-RS" w:eastAsia="sr-Latn-CS"/>
        </w:rPr>
        <w:t>.</w:t>
      </w:r>
      <w:r w:rsidR="003C53AB" w:rsidRPr="00440058">
        <w:rPr>
          <w:color w:val="000000" w:themeColor="text1"/>
          <w:sz w:val="28"/>
          <w:szCs w:val="28"/>
          <w:lang w:val="sr-Cyrl-RS" w:eastAsia="sr-Latn-CS"/>
        </w:rPr>
        <w:t xml:space="preserve"> </w:t>
      </w:r>
      <w:r w:rsidRPr="00440058">
        <w:rPr>
          <w:color w:val="000000" w:themeColor="text1"/>
          <w:sz w:val="28"/>
          <w:szCs w:val="28"/>
          <w:lang w:val="sr-Cyrl-RS" w:eastAsia="sr-Latn-CS"/>
        </w:rPr>
        <w:t xml:space="preserve">Табела 1. Коефицијент Зоне (Кз), мења се и гласи: </w:t>
      </w:r>
    </w:p>
    <w:p w:rsidR="00541EA5" w:rsidRPr="00440058" w:rsidRDefault="00E04F7A" w:rsidP="00541EA5">
      <w:pPr>
        <w:spacing w:before="100" w:beforeAutospacing="1" w:after="100" w:afterAutospacing="1"/>
        <w:rPr>
          <w:b/>
          <w:bCs/>
          <w:i/>
          <w:iCs/>
          <w:color w:val="000000" w:themeColor="text1"/>
          <w:sz w:val="28"/>
          <w:szCs w:val="28"/>
          <w:lang w:val="sr-Cyrl-RS" w:eastAsia="sr-Latn-CS"/>
        </w:rPr>
      </w:pPr>
      <w:bookmarkStart w:id="3" w:name="clan_15"/>
      <w:bookmarkStart w:id="4" w:name="str_9"/>
      <w:bookmarkEnd w:id="3"/>
      <w:bookmarkEnd w:id="4"/>
      <w:r w:rsidRPr="00440058">
        <w:rPr>
          <w:b/>
          <w:bCs/>
          <w:i/>
          <w:iCs/>
          <w:color w:val="000000" w:themeColor="text1"/>
          <w:sz w:val="28"/>
          <w:szCs w:val="28"/>
          <w:lang w:val="sr-Cyrl-RS" w:eastAsia="sr-Latn-CS"/>
        </w:rPr>
        <w:t>„</w:t>
      </w:r>
      <w:r w:rsidR="00541EA5" w:rsidRPr="00440058">
        <w:rPr>
          <w:b/>
          <w:bCs/>
          <w:i/>
          <w:iCs/>
          <w:color w:val="000000" w:themeColor="text1"/>
          <w:sz w:val="28"/>
          <w:szCs w:val="28"/>
          <w:lang w:eastAsia="sr-Latn-CS"/>
        </w:rPr>
        <w:t>Табела 1.</w:t>
      </w:r>
    </w:p>
    <w:p w:rsidR="00541EA5" w:rsidRPr="00440058" w:rsidRDefault="00541EA5" w:rsidP="00541EA5">
      <w:pPr>
        <w:spacing w:before="100" w:beforeAutospacing="1" w:after="100" w:afterAutospacing="1"/>
        <w:rPr>
          <w:b/>
          <w:bCs/>
          <w:i/>
          <w:iCs/>
          <w:color w:val="000000" w:themeColor="text1"/>
          <w:sz w:val="28"/>
          <w:szCs w:val="28"/>
          <w:lang w:eastAsia="sr-Latn-CS"/>
        </w:rPr>
      </w:pPr>
      <w:r w:rsidRPr="00440058">
        <w:rPr>
          <w:b/>
          <w:bCs/>
          <w:color w:val="000000" w:themeColor="text1"/>
          <w:sz w:val="28"/>
          <w:szCs w:val="28"/>
          <w:lang w:eastAsia="sr-Latn-CS"/>
        </w:rPr>
        <w:t>Коефицијент Зоне (Кз): </w:t>
      </w:r>
    </w:p>
    <w:tbl>
      <w:tblPr>
        <w:tblW w:w="9203" w:type="dxa"/>
        <w:jc w:val="center"/>
        <w:tblCellSpacing w:w="0" w:type="dxa"/>
        <w:tblInd w:w="1003"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6935"/>
        <w:gridCol w:w="2268"/>
      </w:tblGrid>
      <w:tr w:rsidR="00541EA5" w:rsidRPr="00440058" w:rsidTr="00725940">
        <w:trPr>
          <w:trHeight w:val="397"/>
          <w:tblCellSpacing w:w="0" w:type="dxa"/>
          <w:jc w:val="center"/>
        </w:trPr>
        <w:tc>
          <w:tcPr>
            <w:tcW w:w="6935"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rPr>
                <w:b/>
                <w:bCs/>
                <w:color w:val="000000" w:themeColor="text1"/>
                <w:sz w:val="28"/>
                <w:szCs w:val="28"/>
                <w:lang w:eastAsia="sr-Latn-CS"/>
              </w:rPr>
            </w:pPr>
            <w:r w:rsidRPr="00440058">
              <w:rPr>
                <w:b/>
                <w:bCs/>
                <w:color w:val="000000" w:themeColor="text1"/>
                <w:sz w:val="28"/>
                <w:szCs w:val="28"/>
                <w:lang w:eastAsia="sr-Latn-CS"/>
              </w:rPr>
              <w:t>Урбанистичка зона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jc w:val="center"/>
              <w:rPr>
                <w:b/>
                <w:bCs/>
                <w:color w:val="000000" w:themeColor="text1"/>
                <w:sz w:val="28"/>
                <w:szCs w:val="28"/>
                <w:lang w:eastAsia="sr-Latn-CS"/>
              </w:rPr>
            </w:pPr>
            <w:r w:rsidRPr="00440058">
              <w:rPr>
                <w:b/>
                <w:bCs/>
                <w:color w:val="000000" w:themeColor="text1"/>
                <w:sz w:val="28"/>
                <w:szCs w:val="28"/>
                <w:lang w:eastAsia="sr-Latn-CS"/>
              </w:rPr>
              <w:t>Коефицијент</w:t>
            </w:r>
          </w:p>
        </w:tc>
      </w:tr>
      <w:tr w:rsidR="00541EA5" w:rsidRPr="00440058" w:rsidTr="00725940">
        <w:trPr>
          <w:trHeight w:hRule="exact" w:val="397"/>
          <w:tblCellSpacing w:w="0" w:type="dxa"/>
          <w:jc w:val="center"/>
        </w:trPr>
        <w:tc>
          <w:tcPr>
            <w:tcW w:w="6935"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rPr>
                <w:color w:val="000000" w:themeColor="text1"/>
                <w:sz w:val="28"/>
                <w:szCs w:val="28"/>
                <w:lang w:val="sr-Cyrl-RS" w:eastAsia="sr-Latn-CS"/>
              </w:rPr>
            </w:pPr>
            <w:r w:rsidRPr="00440058">
              <w:rPr>
                <w:color w:val="000000" w:themeColor="text1"/>
                <w:sz w:val="28"/>
                <w:szCs w:val="28"/>
                <w:lang w:eastAsia="sr-Latn-CS"/>
              </w:rPr>
              <w:t>Прва зона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jc w:val="center"/>
              <w:rPr>
                <w:color w:val="000000" w:themeColor="text1"/>
                <w:sz w:val="28"/>
                <w:szCs w:val="28"/>
                <w:lang w:val="sr-Cyrl-RS" w:eastAsia="sr-Latn-CS"/>
              </w:rPr>
            </w:pPr>
            <w:r w:rsidRPr="00440058">
              <w:rPr>
                <w:color w:val="000000" w:themeColor="text1"/>
                <w:sz w:val="28"/>
                <w:szCs w:val="28"/>
                <w:lang w:val="sr-Cyrl-RS" w:eastAsia="sr-Latn-CS"/>
              </w:rPr>
              <w:t>0,070</w:t>
            </w:r>
          </w:p>
        </w:tc>
      </w:tr>
      <w:tr w:rsidR="00541EA5" w:rsidRPr="00440058" w:rsidTr="00725940">
        <w:trPr>
          <w:trHeight w:hRule="exact" w:val="397"/>
          <w:tblCellSpacing w:w="0" w:type="dxa"/>
          <w:jc w:val="center"/>
        </w:trPr>
        <w:tc>
          <w:tcPr>
            <w:tcW w:w="6935" w:type="dxa"/>
            <w:tcBorders>
              <w:top w:val="outset" w:sz="6" w:space="0" w:color="auto"/>
              <w:left w:val="outset" w:sz="6" w:space="0" w:color="auto"/>
              <w:bottom w:val="outset" w:sz="6" w:space="0" w:color="auto"/>
              <w:right w:val="outset" w:sz="6" w:space="0" w:color="auto"/>
            </w:tcBorders>
            <w:vAlign w:val="center"/>
          </w:tcPr>
          <w:p w:rsidR="00541EA5" w:rsidRPr="00440058" w:rsidRDefault="00541EA5" w:rsidP="00725940">
            <w:pPr>
              <w:spacing w:before="100" w:beforeAutospacing="1" w:after="100" w:afterAutospacing="1"/>
              <w:rPr>
                <w:color w:val="000000" w:themeColor="text1"/>
                <w:sz w:val="28"/>
                <w:szCs w:val="28"/>
                <w:lang w:val="sr-Cyrl-RS" w:eastAsia="sr-Latn-CS"/>
              </w:rPr>
            </w:pPr>
            <w:r w:rsidRPr="00440058">
              <w:rPr>
                <w:color w:val="000000" w:themeColor="text1"/>
                <w:sz w:val="28"/>
                <w:szCs w:val="28"/>
                <w:lang w:val="sr-Cyrl-RS" w:eastAsia="sr-Latn-CS"/>
              </w:rPr>
              <w:t>Друга зона</w:t>
            </w:r>
          </w:p>
        </w:tc>
        <w:tc>
          <w:tcPr>
            <w:tcW w:w="2268" w:type="dxa"/>
            <w:tcBorders>
              <w:top w:val="outset" w:sz="6" w:space="0" w:color="auto"/>
              <w:left w:val="outset" w:sz="6" w:space="0" w:color="auto"/>
              <w:bottom w:val="outset" w:sz="6" w:space="0" w:color="auto"/>
              <w:right w:val="outset" w:sz="6" w:space="0" w:color="auto"/>
            </w:tcBorders>
            <w:vAlign w:val="center"/>
          </w:tcPr>
          <w:p w:rsidR="00541EA5" w:rsidRPr="00440058" w:rsidRDefault="00541EA5" w:rsidP="00725940">
            <w:pPr>
              <w:spacing w:before="100" w:beforeAutospacing="1" w:after="100" w:afterAutospacing="1"/>
              <w:jc w:val="center"/>
              <w:rPr>
                <w:color w:val="000000" w:themeColor="text1"/>
                <w:sz w:val="28"/>
                <w:szCs w:val="28"/>
                <w:lang w:val="sr-Cyrl-RS" w:eastAsia="sr-Latn-CS"/>
              </w:rPr>
            </w:pPr>
            <w:r w:rsidRPr="00440058">
              <w:rPr>
                <w:color w:val="000000" w:themeColor="text1"/>
                <w:sz w:val="28"/>
                <w:szCs w:val="28"/>
                <w:lang w:val="sr-Cyrl-RS" w:eastAsia="sr-Latn-CS"/>
              </w:rPr>
              <w:t>0,066</w:t>
            </w:r>
          </w:p>
        </w:tc>
      </w:tr>
      <w:tr w:rsidR="00541EA5" w:rsidRPr="00440058" w:rsidTr="00725940">
        <w:trPr>
          <w:trHeight w:hRule="exact" w:val="397"/>
          <w:tblCellSpacing w:w="0" w:type="dxa"/>
          <w:jc w:val="center"/>
        </w:trPr>
        <w:tc>
          <w:tcPr>
            <w:tcW w:w="6935"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rPr>
                <w:color w:val="000000" w:themeColor="text1"/>
                <w:sz w:val="28"/>
                <w:szCs w:val="28"/>
                <w:lang w:eastAsia="sr-Latn-CS"/>
              </w:rPr>
            </w:pPr>
            <w:r w:rsidRPr="00440058">
              <w:rPr>
                <w:color w:val="000000" w:themeColor="text1"/>
                <w:sz w:val="28"/>
                <w:szCs w:val="28"/>
                <w:lang w:eastAsia="sr-Latn-CS"/>
              </w:rPr>
              <w:t>Трећа зона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jc w:val="center"/>
              <w:rPr>
                <w:color w:val="000000" w:themeColor="text1"/>
                <w:sz w:val="28"/>
                <w:szCs w:val="28"/>
                <w:lang w:val="sr-Cyrl-RS" w:eastAsia="sr-Latn-CS"/>
              </w:rPr>
            </w:pPr>
            <w:r w:rsidRPr="00440058">
              <w:rPr>
                <w:color w:val="000000" w:themeColor="text1"/>
                <w:sz w:val="28"/>
                <w:szCs w:val="28"/>
                <w:lang w:val="sr-Cyrl-RS" w:eastAsia="sr-Latn-CS"/>
              </w:rPr>
              <w:t>0,059</w:t>
            </w:r>
          </w:p>
        </w:tc>
      </w:tr>
      <w:tr w:rsidR="00541EA5" w:rsidRPr="00440058" w:rsidTr="00725940">
        <w:trPr>
          <w:trHeight w:hRule="exact" w:val="397"/>
          <w:tblCellSpacing w:w="0" w:type="dxa"/>
          <w:jc w:val="center"/>
        </w:trPr>
        <w:tc>
          <w:tcPr>
            <w:tcW w:w="6935"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rPr>
                <w:color w:val="000000" w:themeColor="text1"/>
                <w:sz w:val="28"/>
                <w:szCs w:val="28"/>
                <w:lang w:eastAsia="sr-Latn-CS"/>
              </w:rPr>
            </w:pPr>
            <w:r w:rsidRPr="00440058">
              <w:rPr>
                <w:color w:val="000000" w:themeColor="text1"/>
                <w:sz w:val="28"/>
                <w:szCs w:val="28"/>
                <w:lang w:eastAsia="sr-Latn-CS"/>
              </w:rPr>
              <w:t>Четврта зона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jc w:val="center"/>
              <w:rPr>
                <w:color w:val="000000" w:themeColor="text1"/>
                <w:sz w:val="28"/>
                <w:szCs w:val="28"/>
                <w:lang w:val="sr-Cyrl-RS" w:eastAsia="sr-Latn-CS"/>
              </w:rPr>
            </w:pPr>
            <w:r w:rsidRPr="00440058">
              <w:rPr>
                <w:color w:val="000000" w:themeColor="text1"/>
                <w:sz w:val="28"/>
                <w:szCs w:val="28"/>
                <w:lang w:val="sr-Cyrl-RS" w:eastAsia="sr-Latn-CS"/>
              </w:rPr>
              <w:t>0,051</w:t>
            </w:r>
          </w:p>
        </w:tc>
      </w:tr>
      <w:tr w:rsidR="00541EA5" w:rsidRPr="00440058" w:rsidTr="00725940">
        <w:trPr>
          <w:trHeight w:hRule="exact" w:val="397"/>
          <w:tblCellSpacing w:w="0" w:type="dxa"/>
          <w:jc w:val="center"/>
        </w:trPr>
        <w:tc>
          <w:tcPr>
            <w:tcW w:w="6935"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rPr>
                <w:color w:val="000000" w:themeColor="text1"/>
                <w:sz w:val="28"/>
                <w:szCs w:val="28"/>
                <w:lang w:eastAsia="sr-Latn-CS"/>
              </w:rPr>
            </w:pPr>
            <w:r w:rsidRPr="00440058">
              <w:rPr>
                <w:color w:val="000000" w:themeColor="text1"/>
                <w:sz w:val="28"/>
                <w:szCs w:val="28"/>
                <w:lang w:eastAsia="sr-Latn-CS"/>
              </w:rPr>
              <w:lastRenderedPageBreak/>
              <w:t>Пета зона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jc w:val="center"/>
              <w:rPr>
                <w:color w:val="000000" w:themeColor="text1"/>
                <w:sz w:val="28"/>
                <w:szCs w:val="28"/>
                <w:lang w:val="sr-Cyrl-RS" w:eastAsia="sr-Latn-CS"/>
              </w:rPr>
            </w:pPr>
            <w:r w:rsidRPr="00440058">
              <w:rPr>
                <w:color w:val="000000" w:themeColor="text1"/>
                <w:sz w:val="28"/>
                <w:szCs w:val="28"/>
                <w:lang w:val="sr-Cyrl-RS" w:eastAsia="sr-Latn-CS"/>
              </w:rPr>
              <w:t>0,043</w:t>
            </w:r>
          </w:p>
        </w:tc>
      </w:tr>
      <w:tr w:rsidR="00541EA5" w:rsidRPr="00440058" w:rsidTr="00725940">
        <w:trPr>
          <w:trHeight w:hRule="exact" w:val="397"/>
          <w:tblCellSpacing w:w="0" w:type="dxa"/>
          <w:jc w:val="center"/>
        </w:trPr>
        <w:tc>
          <w:tcPr>
            <w:tcW w:w="6935"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rPr>
                <w:color w:val="000000" w:themeColor="text1"/>
                <w:sz w:val="28"/>
                <w:szCs w:val="28"/>
                <w:lang w:eastAsia="sr-Latn-CS"/>
              </w:rPr>
            </w:pPr>
            <w:r w:rsidRPr="00440058">
              <w:rPr>
                <w:color w:val="000000" w:themeColor="text1"/>
                <w:sz w:val="28"/>
                <w:szCs w:val="28"/>
                <w:lang w:eastAsia="sr-Latn-CS"/>
              </w:rPr>
              <w:t>Шеста зона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jc w:val="center"/>
              <w:rPr>
                <w:color w:val="000000" w:themeColor="text1"/>
                <w:sz w:val="28"/>
                <w:szCs w:val="28"/>
                <w:lang w:val="sr-Cyrl-RS" w:eastAsia="sr-Latn-CS"/>
              </w:rPr>
            </w:pPr>
            <w:r w:rsidRPr="00440058">
              <w:rPr>
                <w:color w:val="000000" w:themeColor="text1"/>
                <w:sz w:val="28"/>
                <w:szCs w:val="28"/>
                <w:lang w:val="sr-Cyrl-RS" w:eastAsia="sr-Latn-CS"/>
              </w:rPr>
              <w:t>0,028</w:t>
            </w:r>
          </w:p>
        </w:tc>
      </w:tr>
      <w:tr w:rsidR="00541EA5" w:rsidRPr="00440058" w:rsidTr="00725940">
        <w:trPr>
          <w:trHeight w:hRule="exact" w:val="397"/>
          <w:tblCellSpacing w:w="0" w:type="dxa"/>
          <w:jc w:val="center"/>
        </w:trPr>
        <w:tc>
          <w:tcPr>
            <w:tcW w:w="6935"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rPr>
                <w:color w:val="000000" w:themeColor="text1"/>
                <w:sz w:val="28"/>
                <w:szCs w:val="28"/>
                <w:lang w:eastAsia="sr-Latn-CS"/>
              </w:rPr>
            </w:pPr>
            <w:r w:rsidRPr="00440058">
              <w:rPr>
                <w:color w:val="000000" w:themeColor="text1"/>
                <w:sz w:val="28"/>
                <w:szCs w:val="28"/>
                <w:lang w:eastAsia="sr-Latn-CS"/>
              </w:rPr>
              <w:t>Седма зона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jc w:val="center"/>
              <w:rPr>
                <w:color w:val="000000" w:themeColor="text1"/>
                <w:sz w:val="28"/>
                <w:szCs w:val="28"/>
                <w:lang w:val="sr-Cyrl-RS" w:eastAsia="sr-Latn-CS"/>
              </w:rPr>
            </w:pPr>
            <w:r w:rsidRPr="00440058">
              <w:rPr>
                <w:color w:val="000000" w:themeColor="text1"/>
                <w:sz w:val="28"/>
                <w:szCs w:val="28"/>
                <w:lang w:val="sr-Cyrl-RS" w:eastAsia="sr-Latn-CS"/>
              </w:rPr>
              <w:t>0,018</w:t>
            </w:r>
          </w:p>
        </w:tc>
      </w:tr>
      <w:tr w:rsidR="00541EA5" w:rsidRPr="00440058" w:rsidTr="00725940">
        <w:trPr>
          <w:trHeight w:hRule="exact" w:val="397"/>
          <w:tblCellSpacing w:w="0" w:type="dxa"/>
          <w:jc w:val="center"/>
        </w:trPr>
        <w:tc>
          <w:tcPr>
            <w:tcW w:w="6935"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rPr>
                <w:color w:val="000000" w:themeColor="text1"/>
                <w:sz w:val="28"/>
                <w:szCs w:val="28"/>
                <w:lang w:eastAsia="sr-Latn-CS"/>
              </w:rPr>
            </w:pPr>
            <w:r w:rsidRPr="00440058">
              <w:rPr>
                <w:color w:val="000000" w:themeColor="text1"/>
                <w:sz w:val="28"/>
                <w:szCs w:val="28"/>
                <w:lang w:eastAsia="sr-Latn-CS"/>
              </w:rPr>
              <w:t>Седма А зона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jc w:val="center"/>
              <w:rPr>
                <w:color w:val="000000" w:themeColor="text1"/>
                <w:sz w:val="28"/>
                <w:szCs w:val="28"/>
                <w:lang w:val="sr-Cyrl-RS" w:eastAsia="sr-Latn-CS"/>
              </w:rPr>
            </w:pPr>
            <w:r w:rsidRPr="00440058">
              <w:rPr>
                <w:color w:val="000000" w:themeColor="text1"/>
                <w:sz w:val="28"/>
                <w:szCs w:val="28"/>
                <w:lang w:val="sr-Cyrl-RS" w:eastAsia="sr-Latn-CS"/>
              </w:rPr>
              <w:t>0,015</w:t>
            </w:r>
          </w:p>
        </w:tc>
      </w:tr>
      <w:tr w:rsidR="00541EA5" w:rsidRPr="00440058" w:rsidTr="00725940">
        <w:trPr>
          <w:trHeight w:hRule="exact" w:val="397"/>
          <w:tblCellSpacing w:w="0" w:type="dxa"/>
          <w:jc w:val="center"/>
        </w:trPr>
        <w:tc>
          <w:tcPr>
            <w:tcW w:w="6935"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rPr>
                <w:color w:val="000000" w:themeColor="text1"/>
                <w:sz w:val="28"/>
                <w:szCs w:val="28"/>
                <w:lang w:eastAsia="sr-Latn-CS"/>
              </w:rPr>
            </w:pPr>
            <w:r w:rsidRPr="00440058">
              <w:rPr>
                <w:color w:val="000000" w:themeColor="text1"/>
                <w:sz w:val="28"/>
                <w:szCs w:val="28"/>
                <w:lang w:eastAsia="sr-Latn-CS"/>
              </w:rPr>
              <w:t>Седма Б зона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jc w:val="center"/>
              <w:rPr>
                <w:color w:val="000000" w:themeColor="text1"/>
                <w:sz w:val="28"/>
                <w:szCs w:val="28"/>
                <w:lang w:val="sr-Cyrl-RS" w:eastAsia="sr-Latn-CS"/>
              </w:rPr>
            </w:pPr>
            <w:r w:rsidRPr="00440058">
              <w:rPr>
                <w:color w:val="000000" w:themeColor="text1"/>
                <w:sz w:val="28"/>
                <w:szCs w:val="28"/>
                <w:lang w:val="sr-Cyrl-RS" w:eastAsia="sr-Latn-CS"/>
              </w:rPr>
              <w:t>0,014</w:t>
            </w:r>
          </w:p>
        </w:tc>
      </w:tr>
      <w:tr w:rsidR="00541EA5" w:rsidRPr="00440058" w:rsidTr="00725940">
        <w:trPr>
          <w:trHeight w:hRule="exact" w:val="397"/>
          <w:tblCellSpacing w:w="0" w:type="dxa"/>
          <w:jc w:val="center"/>
        </w:trPr>
        <w:tc>
          <w:tcPr>
            <w:tcW w:w="6935"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rPr>
                <w:color w:val="000000" w:themeColor="text1"/>
                <w:sz w:val="28"/>
                <w:szCs w:val="28"/>
                <w:lang w:eastAsia="sr-Latn-CS"/>
              </w:rPr>
            </w:pPr>
            <w:r w:rsidRPr="00440058">
              <w:rPr>
                <w:color w:val="000000" w:themeColor="text1"/>
                <w:sz w:val="28"/>
                <w:szCs w:val="28"/>
                <w:lang w:eastAsia="sr-Latn-CS"/>
              </w:rPr>
              <w:t>Осма зона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jc w:val="center"/>
              <w:rPr>
                <w:color w:val="000000" w:themeColor="text1"/>
                <w:sz w:val="28"/>
                <w:szCs w:val="28"/>
                <w:lang w:val="sr-Cyrl-RS" w:eastAsia="sr-Latn-CS"/>
              </w:rPr>
            </w:pPr>
            <w:r w:rsidRPr="00440058">
              <w:rPr>
                <w:color w:val="000000" w:themeColor="text1"/>
                <w:sz w:val="28"/>
                <w:szCs w:val="28"/>
                <w:lang w:val="sr-Cyrl-RS" w:eastAsia="sr-Latn-CS"/>
              </w:rPr>
              <w:t>0,013</w:t>
            </w:r>
          </w:p>
        </w:tc>
      </w:tr>
      <w:tr w:rsidR="00541EA5" w:rsidRPr="00440058" w:rsidTr="00725940">
        <w:trPr>
          <w:trHeight w:hRule="exact" w:val="397"/>
          <w:tblCellSpacing w:w="0" w:type="dxa"/>
          <w:jc w:val="center"/>
        </w:trPr>
        <w:tc>
          <w:tcPr>
            <w:tcW w:w="6935"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rPr>
                <w:color w:val="000000" w:themeColor="text1"/>
                <w:sz w:val="28"/>
                <w:szCs w:val="28"/>
                <w:lang w:eastAsia="sr-Latn-CS"/>
              </w:rPr>
            </w:pPr>
            <w:r w:rsidRPr="00440058">
              <w:rPr>
                <w:color w:val="000000" w:themeColor="text1"/>
                <w:sz w:val="28"/>
                <w:szCs w:val="28"/>
                <w:lang w:eastAsia="sr-Latn-CS"/>
              </w:rPr>
              <w:t>Осма А зона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jc w:val="center"/>
              <w:rPr>
                <w:color w:val="000000" w:themeColor="text1"/>
                <w:sz w:val="28"/>
                <w:szCs w:val="28"/>
                <w:lang w:val="sr-Cyrl-RS" w:eastAsia="sr-Latn-CS"/>
              </w:rPr>
            </w:pPr>
            <w:r w:rsidRPr="00440058">
              <w:rPr>
                <w:color w:val="000000" w:themeColor="text1"/>
                <w:sz w:val="28"/>
                <w:szCs w:val="28"/>
                <w:lang w:val="sr-Cyrl-RS" w:eastAsia="sr-Latn-CS"/>
              </w:rPr>
              <w:t>0,011</w:t>
            </w:r>
          </w:p>
        </w:tc>
      </w:tr>
    </w:tbl>
    <w:p w:rsidR="00541EA5" w:rsidRPr="00440058" w:rsidRDefault="00541EA5" w:rsidP="003275E3">
      <w:pPr>
        <w:spacing w:before="240" w:after="240"/>
        <w:jc w:val="center"/>
        <w:rPr>
          <w:b/>
          <w:bCs/>
          <w:iCs/>
          <w:color w:val="000000" w:themeColor="text1"/>
          <w:sz w:val="28"/>
          <w:szCs w:val="28"/>
          <w:lang w:val="sr-Cyrl-RS" w:eastAsia="sr-Latn-CS"/>
        </w:rPr>
      </w:pPr>
      <w:bookmarkStart w:id="5" w:name="str_11"/>
      <w:bookmarkEnd w:id="5"/>
      <w:r w:rsidRPr="00440058">
        <w:rPr>
          <w:b/>
          <w:bCs/>
          <w:iCs/>
          <w:color w:val="000000" w:themeColor="text1"/>
          <w:sz w:val="28"/>
          <w:szCs w:val="28"/>
          <w:lang w:val="sr-Cyrl-RS" w:eastAsia="sr-Latn-CS"/>
        </w:rPr>
        <w:t>Члан 3.</w:t>
      </w:r>
    </w:p>
    <w:p w:rsidR="00E04F7A" w:rsidRPr="00440058" w:rsidRDefault="00E04F7A" w:rsidP="001E3322">
      <w:pPr>
        <w:spacing w:before="240" w:after="120"/>
        <w:ind w:firstLine="720"/>
        <w:rPr>
          <w:bCs/>
          <w:color w:val="000000" w:themeColor="text1"/>
          <w:sz w:val="28"/>
          <w:szCs w:val="28"/>
          <w:lang w:val="sr-Cyrl-RS" w:eastAsia="sr-Latn-CS"/>
        </w:rPr>
      </w:pPr>
      <w:bookmarkStart w:id="6" w:name="clan_19"/>
      <w:bookmarkEnd w:id="6"/>
      <w:r w:rsidRPr="00440058">
        <w:rPr>
          <w:bCs/>
          <w:color w:val="000000" w:themeColor="text1"/>
          <w:sz w:val="28"/>
          <w:szCs w:val="28"/>
          <w:lang w:val="sr-Cyrl-RS" w:eastAsia="sr-Latn-CS"/>
        </w:rPr>
        <w:t>Ч</w:t>
      </w:r>
      <w:r w:rsidR="00541EA5" w:rsidRPr="00440058">
        <w:rPr>
          <w:bCs/>
          <w:color w:val="000000" w:themeColor="text1"/>
          <w:sz w:val="28"/>
          <w:szCs w:val="28"/>
          <w:lang w:eastAsia="sr-Latn-CS"/>
        </w:rPr>
        <w:t>лан 19</w:t>
      </w:r>
      <w:r w:rsidRPr="00440058">
        <w:rPr>
          <w:bCs/>
          <w:color w:val="000000" w:themeColor="text1"/>
          <w:sz w:val="28"/>
          <w:szCs w:val="28"/>
          <w:lang w:val="sr-Cyrl-RS" w:eastAsia="sr-Latn-CS"/>
        </w:rPr>
        <w:t>. мења се и гласи</w:t>
      </w:r>
      <w:r w:rsidR="00541EA5" w:rsidRPr="00440058">
        <w:rPr>
          <w:bCs/>
          <w:color w:val="000000" w:themeColor="text1"/>
          <w:sz w:val="28"/>
          <w:szCs w:val="28"/>
          <w:lang w:val="sr-Cyrl-RS" w:eastAsia="sr-Latn-CS"/>
        </w:rPr>
        <w:t>:</w:t>
      </w:r>
    </w:p>
    <w:p w:rsidR="00541EA5" w:rsidRPr="00440058" w:rsidRDefault="00E04F7A" w:rsidP="00E04F7A">
      <w:pPr>
        <w:spacing w:before="240" w:after="120"/>
        <w:jc w:val="center"/>
        <w:rPr>
          <w:bCs/>
          <w:iCs/>
          <w:color w:val="000000" w:themeColor="text1"/>
          <w:sz w:val="28"/>
          <w:szCs w:val="28"/>
          <w:lang w:val="sr-Cyrl-RS" w:eastAsia="sr-Latn-CS"/>
        </w:rPr>
      </w:pPr>
      <w:r w:rsidRPr="00440058">
        <w:rPr>
          <w:bCs/>
          <w:color w:val="000000" w:themeColor="text1"/>
          <w:sz w:val="28"/>
          <w:szCs w:val="28"/>
          <w:lang w:val="sr-Cyrl-RS" w:eastAsia="sr-Latn-CS"/>
        </w:rPr>
        <w:t>„</w:t>
      </w:r>
      <w:r w:rsidRPr="00440058">
        <w:rPr>
          <w:bCs/>
          <w:iCs/>
          <w:color w:val="000000" w:themeColor="text1"/>
          <w:sz w:val="28"/>
          <w:szCs w:val="28"/>
          <w:lang w:val="sr-Cyrl-RS" w:eastAsia="sr-Latn-CS"/>
        </w:rPr>
        <w:t>Члан 19.</w:t>
      </w:r>
    </w:p>
    <w:p w:rsidR="00E04F7A" w:rsidRPr="00440058" w:rsidRDefault="00E04F7A" w:rsidP="001E3322">
      <w:pPr>
        <w:spacing w:before="240" w:after="120"/>
        <w:ind w:firstLine="720"/>
        <w:jc w:val="both"/>
        <w:rPr>
          <w:bCs/>
          <w:color w:val="000000" w:themeColor="text1"/>
          <w:sz w:val="28"/>
          <w:szCs w:val="28"/>
          <w:lang w:eastAsia="sr-Latn-CS"/>
        </w:rPr>
      </w:pPr>
      <w:r w:rsidRPr="00440058">
        <w:rPr>
          <w:bCs/>
          <w:color w:val="000000" w:themeColor="text1"/>
          <w:sz w:val="28"/>
          <w:szCs w:val="28"/>
          <w:lang w:eastAsia="sr-Latn-CS"/>
        </w:rPr>
        <w:t>Уколико је локацијским условима утврђено да земљиште на коме се гради објекат није потпуно опремљено комуналном инфраструктуром, а која не представља неопходан услов за функционисање објекта који се гради, износ обрачунатог доприноса за уређивање грађевинског земљишта умањује се за одређени проценат, прописан у Табели 3.</w:t>
      </w:r>
    </w:p>
    <w:p w:rsidR="00541EA5" w:rsidRPr="00440058" w:rsidRDefault="00541EA5" w:rsidP="00541EA5">
      <w:pPr>
        <w:spacing w:before="100" w:beforeAutospacing="1" w:after="100" w:afterAutospacing="1"/>
        <w:rPr>
          <w:color w:val="000000" w:themeColor="text1"/>
          <w:sz w:val="28"/>
          <w:szCs w:val="28"/>
          <w:lang w:eastAsia="sr-Latn-CS"/>
        </w:rPr>
      </w:pPr>
      <w:r w:rsidRPr="00440058">
        <w:rPr>
          <w:b/>
          <w:bCs/>
          <w:i/>
          <w:iCs/>
          <w:color w:val="000000" w:themeColor="text1"/>
          <w:sz w:val="28"/>
          <w:szCs w:val="28"/>
          <w:lang w:eastAsia="sr-Latn-CS"/>
        </w:rPr>
        <w:t>Табела 3.</w:t>
      </w:r>
    </w:p>
    <w:tbl>
      <w:tblPr>
        <w:tblW w:w="9203" w:type="dxa"/>
        <w:jc w:val="center"/>
        <w:tblCellSpacing w:w="0" w:type="dxa"/>
        <w:tblInd w:w="1003"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6935"/>
        <w:gridCol w:w="2268"/>
      </w:tblGrid>
      <w:tr w:rsidR="00541EA5" w:rsidRPr="00440058" w:rsidTr="00725940">
        <w:trPr>
          <w:trHeight w:hRule="exact" w:val="680"/>
          <w:tblCellSpacing w:w="0" w:type="dxa"/>
          <w:jc w:val="center"/>
        </w:trPr>
        <w:tc>
          <w:tcPr>
            <w:tcW w:w="6935"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rPr>
                <w:b/>
                <w:bCs/>
                <w:color w:val="000000" w:themeColor="text1"/>
                <w:sz w:val="28"/>
                <w:szCs w:val="28"/>
                <w:lang w:eastAsia="sr-Latn-CS"/>
              </w:rPr>
            </w:pPr>
            <w:r w:rsidRPr="00440058">
              <w:rPr>
                <w:b/>
                <w:bCs/>
                <w:color w:val="000000" w:themeColor="text1"/>
                <w:sz w:val="28"/>
                <w:szCs w:val="28"/>
                <w:lang w:eastAsia="sr-Latn-CS"/>
              </w:rPr>
              <w:t>Недостајућа комунална инфраструктура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jc w:val="center"/>
              <w:rPr>
                <w:b/>
                <w:bCs/>
                <w:color w:val="000000" w:themeColor="text1"/>
                <w:sz w:val="28"/>
                <w:szCs w:val="28"/>
                <w:lang w:eastAsia="sr-Latn-CS"/>
              </w:rPr>
            </w:pPr>
            <w:r w:rsidRPr="00440058">
              <w:rPr>
                <w:b/>
                <w:bCs/>
                <w:color w:val="000000" w:themeColor="text1"/>
                <w:sz w:val="28"/>
                <w:szCs w:val="28"/>
                <w:lang w:eastAsia="sr-Latn-CS"/>
              </w:rPr>
              <w:t>Проценат умањења </w:t>
            </w:r>
          </w:p>
        </w:tc>
      </w:tr>
      <w:tr w:rsidR="00541EA5" w:rsidRPr="00440058" w:rsidTr="00725940">
        <w:trPr>
          <w:trHeight w:hRule="exact" w:val="397"/>
          <w:tblCellSpacing w:w="0" w:type="dxa"/>
          <w:jc w:val="center"/>
        </w:trPr>
        <w:tc>
          <w:tcPr>
            <w:tcW w:w="6935"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rPr>
                <w:color w:val="000000" w:themeColor="text1"/>
                <w:sz w:val="28"/>
                <w:szCs w:val="28"/>
                <w:lang w:eastAsia="sr-Latn-CS"/>
              </w:rPr>
            </w:pPr>
            <w:r w:rsidRPr="00440058">
              <w:rPr>
                <w:color w:val="000000" w:themeColor="text1"/>
                <w:sz w:val="28"/>
                <w:szCs w:val="28"/>
                <w:lang w:eastAsia="sr-Latn-CS"/>
              </w:rPr>
              <w:t>Недостајућа саобраћајница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jc w:val="center"/>
              <w:rPr>
                <w:color w:val="000000" w:themeColor="text1"/>
                <w:sz w:val="28"/>
                <w:szCs w:val="28"/>
                <w:lang w:eastAsia="sr-Latn-CS"/>
              </w:rPr>
            </w:pPr>
            <w:r w:rsidRPr="00440058">
              <w:rPr>
                <w:color w:val="000000" w:themeColor="text1"/>
                <w:sz w:val="28"/>
                <w:szCs w:val="28"/>
                <w:lang w:eastAsia="sr-Latn-CS"/>
              </w:rPr>
              <w:t>10</w:t>
            </w:r>
          </w:p>
        </w:tc>
      </w:tr>
      <w:tr w:rsidR="00541EA5" w:rsidRPr="00440058" w:rsidTr="00725940">
        <w:trPr>
          <w:trHeight w:hRule="exact" w:val="397"/>
          <w:tblCellSpacing w:w="0" w:type="dxa"/>
          <w:jc w:val="center"/>
        </w:trPr>
        <w:tc>
          <w:tcPr>
            <w:tcW w:w="6935"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rPr>
                <w:color w:val="000000" w:themeColor="text1"/>
                <w:sz w:val="28"/>
                <w:szCs w:val="28"/>
                <w:lang w:eastAsia="sr-Latn-CS"/>
              </w:rPr>
            </w:pPr>
            <w:r w:rsidRPr="00440058">
              <w:rPr>
                <w:color w:val="000000" w:themeColor="text1"/>
                <w:sz w:val="28"/>
                <w:szCs w:val="28"/>
                <w:lang w:eastAsia="sr-Latn-CS"/>
              </w:rPr>
              <w:t>Недостајући тротоар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jc w:val="center"/>
              <w:rPr>
                <w:color w:val="000000" w:themeColor="text1"/>
                <w:sz w:val="28"/>
                <w:szCs w:val="28"/>
                <w:lang w:eastAsia="sr-Latn-CS"/>
              </w:rPr>
            </w:pPr>
            <w:r w:rsidRPr="00440058">
              <w:rPr>
                <w:color w:val="000000" w:themeColor="text1"/>
                <w:sz w:val="28"/>
                <w:szCs w:val="28"/>
                <w:lang w:eastAsia="sr-Latn-CS"/>
              </w:rPr>
              <w:t>5</w:t>
            </w:r>
          </w:p>
        </w:tc>
      </w:tr>
      <w:tr w:rsidR="00541EA5" w:rsidRPr="00440058" w:rsidTr="00725940">
        <w:trPr>
          <w:trHeight w:hRule="exact" w:val="397"/>
          <w:tblCellSpacing w:w="0" w:type="dxa"/>
          <w:jc w:val="center"/>
        </w:trPr>
        <w:tc>
          <w:tcPr>
            <w:tcW w:w="6935"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rPr>
                <w:color w:val="000000" w:themeColor="text1"/>
                <w:sz w:val="28"/>
                <w:szCs w:val="28"/>
                <w:lang w:eastAsia="sr-Latn-CS"/>
              </w:rPr>
            </w:pPr>
            <w:r w:rsidRPr="00440058">
              <w:rPr>
                <w:color w:val="000000" w:themeColor="text1"/>
                <w:sz w:val="28"/>
                <w:szCs w:val="28"/>
                <w:lang w:eastAsia="sr-Latn-CS"/>
              </w:rPr>
              <w:t>Недостајућа канализациона мрежа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jc w:val="center"/>
              <w:rPr>
                <w:color w:val="000000" w:themeColor="text1"/>
                <w:sz w:val="28"/>
                <w:szCs w:val="28"/>
                <w:lang w:eastAsia="sr-Latn-CS"/>
              </w:rPr>
            </w:pPr>
            <w:r w:rsidRPr="00440058">
              <w:rPr>
                <w:color w:val="000000" w:themeColor="text1"/>
                <w:sz w:val="28"/>
                <w:szCs w:val="28"/>
                <w:lang w:eastAsia="sr-Latn-CS"/>
              </w:rPr>
              <w:t>10</w:t>
            </w:r>
          </w:p>
        </w:tc>
      </w:tr>
      <w:tr w:rsidR="00541EA5" w:rsidRPr="00440058" w:rsidTr="00725940">
        <w:trPr>
          <w:trHeight w:hRule="exact" w:val="397"/>
          <w:tblCellSpacing w:w="0" w:type="dxa"/>
          <w:jc w:val="center"/>
        </w:trPr>
        <w:tc>
          <w:tcPr>
            <w:tcW w:w="6935"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rPr>
                <w:color w:val="000000" w:themeColor="text1"/>
                <w:sz w:val="28"/>
                <w:szCs w:val="28"/>
                <w:lang w:eastAsia="sr-Latn-CS"/>
              </w:rPr>
            </w:pPr>
            <w:r w:rsidRPr="00440058">
              <w:rPr>
                <w:color w:val="000000" w:themeColor="text1"/>
                <w:sz w:val="28"/>
                <w:szCs w:val="28"/>
                <w:lang w:eastAsia="sr-Latn-CS"/>
              </w:rPr>
              <w:t>Недостајућа водоводна мрежа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41EA5" w:rsidRPr="00440058" w:rsidRDefault="00541EA5" w:rsidP="00725940">
            <w:pPr>
              <w:spacing w:before="100" w:beforeAutospacing="1" w:after="100" w:afterAutospacing="1"/>
              <w:jc w:val="center"/>
              <w:rPr>
                <w:color w:val="000000" w:themeColor="text1"/>
                <w:sz w:val="28"/>
                <w:szCs w:val="28"/>
                <w:lang w:eastAsia="sr-Latn-CS"/>
              </w:rPr>
            </w:pPr>
            <w:r w:rsidRPr="00440058">
              <w:rPr>
                <w:color w:val="000000" w:themeColor="text1"/>
                <w:sz w:val="28"/>
                <w:szCs w:val="28"/>
                <w:lang w:eastAsia="sr-Latn-CS"/>
              </w:rPr>
              <w:t>5</w:t>
            </w:r>
          </w:p>
        </w:tc>
      </w:tr>
      <w:tr w:rsidR="00541EA5" w:rsidRPr="00440058" w:rsidTr="00725940">
        <w:trPr>
          <w:trHeight w:hRule="exact" w:val="397"/>
          <w:tblCellSpacing w:w="0" w:type="dxa"/>
          <w:jc w:val="center"/>
        </w:trPr>
        <w:tc>
          <w:tcPr>
            <w:tcW w:w="6935" w:type="dxa"/>
            <w:tcBorders>
              <w:top w:val="outset" w:sz="6" w:space="0" w:color="auto"/>
              <w:left w:val="outset" w:sz="6" w:space="0" w:color="auto"/>
              <w:bottom w:val="outset" w:sz="6" w:space="0" w:color="auto"/>
              <w:right w:val="outset" w:sz="6" w:space="0" w:color="auto"/>
            </w:tcBorders>
            <w:vAlign w:val="center"/>
          </w:tcPr>
          <w:p w:rsidR="00541EA5" w:rsidRPr="00440058" w:rsidRDefault="00541EA5" w:rsidP="00725940">
            <w:pPr>
              <w:spacing w:before="100" w:beforeAutospacing="1" w:after="100" w:afterAutospacing="1"/>
              <w:rPr>
                <w:color w:val="000000" w:themeColor="text1"/>
                <w:sz w:val="28"/>
                <w:szCs w:val="28"/>
                <w:lang w:val="sr-Cyrl-RS" w:eastAsia="sr-Latn-CS"/>
              </w:rPr>
            </w:pPr>
            <w:r w:rsidRPr="00440058">
              <w:rPr>
                <w:color w:val="000000" w:themeColor="text1"/>
                <w:sz w:val="28"/>
                <w:szCs w:val="28"/>
                <w:lang w:val="sr-Cyrl-RS" w:eastAsia="sr-Latn-CS"/>
              </w:rPr>
              <w:t xml:space="preserve">Недостајућа топловодна мрежа </w:t>
            </w:r>
          </w:p>
        </w:tc>
        <w:tc>
          <w:tcPr>
            <w:tcW w:w="2268" w:type="dxa"/>
            <w:tcBorders>
              <w:top w:val="outset" w:sz="6" w:space="0" w:color="auto"/>
              <w:left w:val="outset" w:sz="6" w:space="0" w:color="auto"/>
              <w:bottom w:val="outset" w:sz="6" w:space="0" w:color="auto"/>
              <w:right w:val="outset" w:sz="6" w:space="0" w:color="auto"/>
            </w:tcBorders>
            <w:vAlign w:val="center"/>
          </w:tcPr>
          <w:p w:rsidR="00541EA5" w:rsidRPr="00440058" w:rsidRDefault="00541EA5" w:rsidP="00725940">
            <w:pPr>
              <w:spacing w:before="100" w:beforeAutospacing="1" w:after="100" w:afterAutospacing="1"/>
              <w:jc w:val="center"/>
              <w:rPr>
                <w:color w:val="000000" w:themeColor="text1"/>
                <w:sz w:val="28"/>
                <w:szCs w:val="28"/>
                <w:lang w:val="sr-Cyrl-RS" w:eastAsia="sr-Latn-CS"/>
              </w:rPr>
            </w:pPr>
            <w:r w:rsidRPr="00440058">
              <w:rPr>
                <w:color w:val="000000" w:themeColor="text1"/>
                <w:sz w:val="28"/>
                <w:szCs w:val="28"/>
                <w:lang w:val="sr-Cyrl-RS" w:eastAsia="sr-Latn-CS"/>
              </w:rPr>
              <w:t>20</w:t>
            </w:r>
          </w:p>
        </w:tc>
      </w:tr>
    </w:tbl>
    <w:p w:rsidR="00541EA5" w:rsidRPr="00440058" w:rsidRDefault="00E04F7A" w:rsidP="001E3322">
      <w:pPr>
        <w:spacing w:before="240" w:after="120"/>
        <w:ind w:firstLine="720"/>
        <w:jc w:val="both"/>
        <w:rPr>
          <w:bCs/>
          <w:sz w:val="28"/>
          <w:szCs w:val="28"/>
          <w:lang w:val="sr-Cyrl-RS" w:eastAsia="sr-Latn-CS"/>
        </w:rPr>
      </w:pPr>
      <w:bookmarkStart w:id="7" w:name="clan_20"/>
      <w:bookmarkStart w:id="8" w:name="clan_21"/>
      <w:bookmarkStart w:id="9" w:name="clan_23"/>
      <w:bookmarkStart w:id="10" w:name="clan_25"/>
      <w:bookmarkStart w:id="11" w:name="clan_29"/>
      <w:bookmarkStart w:id="12" w:name="clan_30"/>
      <w:bookmarkStart w:id="13" w:name="clan_31"/>
      <w:bookmarkStart w:id="14" w:name="str_13"/>
      <w:bookmarkStart w:id="15" w:name="str_14"/>
      <w:bookmarkEnd w:id="7"/>
      <w:bookmarkEnd w:id="8"/>
      <w:bookmarkEnd w:id="9"/>
      <w:bookmarkEnd w:id="10"/>
      <w:bookmarkEnd w:id="11"/>
      <w:bookmarkEnd w:id="12"/>
      <w:bookmarkEnd w:id="13"/>
      <w:bookmarkEnd w:id="14"/>
      <w:bookmarkEnd w:id="15"/>
      <w:r w:rsidRPr="00440058">
        <w:rPr>
          <w:bCs/>
          <w:sz w:val="28"/>
          <w:szCs w:val="28"/>
          <w:lang w:val="sr-Cyrl-RS" w:eastAsia="sr-Latn-CS"/>
        </w:rPr>
        <w:t xml:space="preserve">Уколико је локацијским условима утврђено да земљиште на коме се гради објекат није потпуно опремљено комуналном инфраструктуром, а која представља неопходан услов за функционисање објекта који се гради, инвеститор је дужан да уз захтев за издавање грађевинске дозволе, сагласно члану 135. став 10. Закона, достави уговор закључен са одговарајућим имаоцем јавног овлашћења којим се утврђују обавезе уговорних страна да, </w:t>
      </w:r>
      <w:r w:rsidRPr="00440058">
        <w:rPr>
          <w:bCs/>
          <w:sz w:val="28"/>
          <w:szCs w:val="28"/>
          <w:lang w:val="sr-Cyrl-RS" w:eastAsia="sr-Latn-CS"/>
        </w:rPr>
        <w:lastRenderedPageBreak/>
        <w:t>најкасније до истека рока за завршетак радова на објекту за који се тражи грађевинска дозвола, изграде инфраструктуру потребну за прикључење тог објекта на комуналну или другу инфраструктуру, при чему ће се за износ који инвеститор уложи у изградњу недостајуће комуналне инфраструктуре умањити износ обрачунатог доприноса за уређивање грађевинског земљишта</w:t>
      </w:r>
      <w:r w:rsidR="00541EA5" w:rsidRPr="00440058">
        <w:rPr>
          <w:bCs/>
          <w:sz w:val="28"/>
          <w:szCs w:val="28"/>
          <w:lang w:val="sr-Cyrl-RS" w:eastAsia="sr-Latn-CS"/>
        </w:rPr>
        <w:t xml:space="preserve">, као и за вредност земљишта које инвеститор уступа јединици локалне самоуправе за изградњу инфраструктурних објеката.“ </w:t>
      </w:r>
    </w:p>
    <w:p w:rsidR="00541EA5" w:rsidRPr="00440058" w:rsidRDefault="00541EA5" w:rsidP="00541EA5">
      <w:pPr>
        <w:spacing w:before="240" w:after="120"/>
        <w:jc w:val="center"/>
        <w:rPr>
          <w:b/>
          <w:bCs/>
          <w:sz w:val="28"/>
          <w:szCs w:val="28"/>
          <w:lang w:val="sr-Cyrl-RS" w:eastAsia="sr-Latn-CS"/>
        </w:rPr>
      </w:pPr>
      <w:r w:rsidRPr="00440058">
        <w:rPr>
          <w:b/>
          <w:bCs/>
          <w:sz w:val="28"/>
          <w:szCs w:val="28"/>
          <w:lang w:val="sr-Cyrl-RS" w:eastAsia="sr-Latn-CS"/>
        </w:rPr>
        <w:t>Члан 4.</w:t>
      </w:r>
    </w:p>
    <w:p w:rsidR="00541EA5" w:rsidRPr="00440058" w:rsidRDefault="00541EA5" w:rsidP="001E3322">
      <w:pPr>
        <w:ind w:firstLine="720"/>
        <w:rPr>
          <w:color w:val="000000" w:themeColor="text1"/>
          <w:sz w:val="28"/>
          <w:szCs w:val="28"/>
          <w:lang w:val="sr-Cyrl-RS"/>
        </w:rPr>
      </w:pPr>
      <w:bookmarkStart w:id="16" w:name="clan_38"/>
      <w:bookmarkStart w:id="17" w:name="clan_40"/>
      <w:bookmarkStart w:id="18" w:name="clan_41"/>
      <w:bookmarkEnd w:id="16"/>
      <w:bookmarkEnd w:id="17"/>
      <w:bookmarkEnd w:id="18"/>
      <w:r w:rsidRPr="00440058">
        <w:rPr>
          <w:color w:val="000000" w:themeColor="text1"/>
          <w:sz w:val="28"/>
          <w:szCs w:val="28"/>
          <w:lang w:val="sr-Cyrl-RS"/>
        </w:rPr>
        <w:t xml:space="preserve">У члану 22. после  става 4. додаје се став 5. који гласи: </w:t>
      </w:r>
    </w:p>
    <w:p w:rsidR="0055421E" w:rsidRDefault="00541EA5" w:rsidP="001E3322">
      <w:pPr>
        <w:ind w:firstLine="720"/>
        <w:jc w:val="both"/>
        <w:rPr>
          <w:color w:val="000000" w:themeColor="text1"/>
          <w:sz w:val="28"/>
          <w:szCs w:val="28"/>
          <w:lang w:val="sr-Cyrl-RS"/>
        </w:rPr>
      </w:pPr>
      <w:r w:rsidRPr="00440058">
        <w:rPr>
          <w:color w:val="000000" w:themeColor="text1"/>
          <w:sz w:val="28"/>
          <w:szCs w:val="28"/>
          <w:lang w:val="sr-Cyrl-RS"/>
        </w:rPr>
        <w:t>„Умањење у случају једнократне уплате доприноса у целости, обрачунава се на износ утврђеног доприноса након извршеног умањења по уговорима за изградњу недостајуће комуналне инфраструктуре и вредност земљишта које инвеститор уступа јединици локалне самоуправе за изградњу инфраструктурних објеката.</w:t>
      </w:r>
    </w:p>
    <w:p w:rsidR="0055421E" w:rsidRDefault="0055421E" w:rsidP="00541EA5">
      <w:pPr>
        <w:jc w:val="both"/>
        <w:rPr>
          <w:color w:val="000000" w:themeColor="text1"/>
          <w:sz w:val="28"/>
          <w:szCs w:val="28"/>
          <w:lang w:val="sr-Cyrl-RS"/>
        </w:rPr>
      </w:pPr>
    </w:p>
    <w:p w:rsidR="00541EA5" w:rsidRDefault="0055421E" w:rsidP="001E3322">
      <w:pPr>
        <w:ind w:firstLine="720"/>
        <w:jc w:val="both"/>
        <w:rPr>
          <w:color w:val="000000" w:themeColor="text1"/>
          <w:sz w:val="28"/>
          <w:szCs w:val="28"/>
          <w:lang w:val="sr-Cyrl-RS"/>
        </w:rPr>
      </w:pPr>
      <w:r>
        <w:rPr>
          <w:color w:val="000000" w:themeColor="text1"/>
          <w:sz w:val="28"/>
          <w:szCs w:val="28"/>
          <w:lang w:val="sr-Cyrl-RS"/>
        </w:rPr>
        <w:t>Досадашњи ставови 5. и 6. постају ставови 6. и 7.</w:t>
      </w:r>
      <w:r w:rsidR="00541EA5" w:rsidRPr="00440058">
        <w:rPr>
          <w:color w:val="000000" w:themeColor="text1"/>
          <w:sz w:val="28"/>
          <w:szCs w:val="28"/>
          <w:lang w:val="sr-Cyrl-RS"/>
        </w:rPr>
        <w:t>“</w:t>
      </w:r>
    </w:p>
    <w:p w:rsidR="00BE2A63" w:rsidRDefault="00BE2A63" w:rsidP="00541EA5">
      <w:pPr>
        <w:jc w:val="both"/>
        <w:rPr>
          <w:color w:val="000000" w:themeColor="text1"/>
          <w:sz w:val="28"/>
          <w:szCs w:val="28"/>
          <w:lang w:val="sr-Cyrl-RS"/>
        </w:rPr>
      </w:pPr>
    </w:p>
    <w:p w:rsidR="00BE2A63" w:rsidRPr="00440058" w:rsidRDefault="00BE2A63" w:rsidP="00BE2A63">
      <w:pPr>
        <w:jc w:val="center"/>
        <w:rPr>
          <w:b/>
          <w:color w:val="000000" w:themeColor="text1"/>
          <w:sz w:val="28"/>
          <w:szCs w:val="28"/>
          <w:lang w:val="sr-Cyrl-RS"/>
        </w:rPr>
      </w:pPr>
      <w:r w:rsidRPr="00440058">
        <w:rPr>
          <w:b/>
          <w:color w:val="000000" w:themeColor="text1"/>
          <w:sz w:val="28"/>
          <w:szCs w:val="28"/>
          <w:lang w:val="sr-Cyrl-RS"/>
        </w:rPr>
        <w:t>Члан 5.</w:t>
      </w:r>
    </w:p>
    <w:p w:rsidR="00BE2A63" w:rsidRPr="00440058" w:rsidRDefault="00BE2A63" w:rsidP="00BE2A63">
      <w:pPr>
        <w:jc w:val="center"/>
        <w:rPr>
          <w:color w:val="000000" w:themeColor="text1"/>
          <w:sz w:val="28"/>
          <w:szCs w:val="28"/>
          <w:lang w:val="sr-Latn-RS"/>
        </w:rPr>
      </w:pPr>
    </w:p>
    <w:p w:rsidR="00BE2A63" w:rsidRDefault="00B05F18" w:rsidP="001E3322">
      <w:pPr>
        <w:ind w:firstLine="720"/>
        <w:jc w:val="both"/>
        <w:rPr>
          <w:sz w:val="28"/>
          <w:szCs w:val="28"/>
          <w:lang w:val="sr-Cyrl-RS" w:eastAsia="sr-Latn-CS"/>
        </w:rPr>
      </w:pPr>
      <w:r>
        <w:rPr>
          <w:color w:val="000000" w:themeColor="text1"/>
          <w:sz w:val="28"/>
          <w:szCs w:val="28"/>
          <w:lang w:val="sr-Cyrl-RS"/>
        </w:rPr>
        <w:t>У члану 29. у ставу 4</w:t>
      </w:r>
      <w:r w:rsidR="00BE2A63" w:rsidRPr="00440058">
        <w:rPr>
          <w:color w:val="000000" w:themeColor="text1"/>
          <w:sz w:val="28"/>
          <w:szCs w:val="28"/>
          <w:lang w:val="sr-Cyrl-RS"/>
        </w:rPr>
        <w:t xml:space="preserve">. </w:t>
      </w:r>
      <w:r>
        <w:rPr>
          <w:color w:val="000000" w:themeColor="text1"/>
          <w:sz w:val="28"/>
          <w:szCs w:val="28"/>
          <w:lang w:val="sr-Cyrl-RS"/>
        </w:rPr>
        <w:t>речи:</w:t>
      </w:r>
      <w:r w:rsidRPr="00B05F18">
        <w:rPr>
          <w:color w:val="000000" w:themeColor="text1"/>
          <w:sz w:val="28"/>
          <w:szCs w:val="28"/>
          <w:lang w:val="sr-Cyrl-RS"/>
        </w:rPr>
        <w:t xml:space="preserve"> </w:t>
      </w:r>
      <w:r>
        <w:rPr>
          <w:color w:val="000000" w:themeColor="text1"/>
          <w:sz w:val="28"/>
          <w:szCs w:val="28"/>
          <w:lang w:val="sr-Cyrl-RS"/>
        </w:rPr>
        <w:t>„чл. 22. ст. 6.</w:t>
      </w:r>
      <w:r w:rsidR="00BE2A63" w:rsidRPr="00440058">
        <w:rPr>
          <w:sz w:val="28"/>
          <w:szCs w:val="28"/>
          <w:lang w:val="sr-Cyrl-RS" w:eastAsia="sr-Latn-CS"/>
        </w:rPr>
        <w:t>“</w:t>
      </w:r>
      <w:r>
        <w:rPr>
          <w:sz w:val="28"/>
          <w:szCs w:val="28"/>
          <w:lang w:val="sr-Cyrl-RS" w:eastAsia="sr-Latn-CS"/>
        </w:rPr>
        <w:t>, мењају се и гласе:</w:t>
      </w:r>
      <w:r w:rsidRPr="00B05F18">
        <w:t xml:space="preserve"> </w:t>
      </w:r>
      <w:r>
        <w:rPr>
          <w:sz w:val="28"/>
          <w:szCs w:val="28"/>
          <w:lang w:val="sr-Cyrl-RS" w:eastAsia="sr-Latn-CS"/>
        </w:rPr>
        <w:t>„чл. 22. ст. 7</w:t>
      </w:r>
      <w:r w:rsidRPr="00B05F18">
        <w:rPr>
          <w:sz w:val="28"/>
          <w:szCs w:val="28"/>
          <w:lang w:val="sr-Cyrl-RS" w:eastAsia="sr-Latn-CS"/>
        </w:rPr>
        <w:t>.“</w:t>
      </w:r>
    </w:p>
    <w:p w:rsidR="00F625C5" w:rsidRPr="00440058" w:rsidRDefault="00F625C5" w:rsidP="00B05F18">
      <w:pPr>
        <w:jc w:val="both"/>
        <w:rPr>
          <w:color w:val="000000" w:themeColor="text1"/>
          <w:sz w:val="28"/>
          <w:szCs w:val="28"/>
          <w:lang w:val="sr-Cyrl-RS"/>
        </w:rPr>
      </w:pPr>
    </w:p>
    <w:p w:rsidR="00541EA5" w:rsidRPr="00440058" w:rsidRDefault="00BE2A63" w:rsidP="00541EA5">
      <w:pPr>
        <w:jc w:val="center"/>
        <w:rPr>
          <w:b/>
          <w:color w:val="000000" w:themeColor="text1"/>
          <w:sz w:val="28"/>
          <w:szCs w:val="28"/>
          <w:lang w:val="sr-Cyrl-RS"/>
        </w:rPr>
      </w:pPr>
      <w:r>
        <w:rPr>
          <w:b/>
          <w:color w:val="000000" w:themeColor="text1"/>
          <w:sz w:val="28"/>
          <w:szCs w:val="28"/>
          <w:lang w:val="sr-Cyrl-RS"/>
        </w:rPr>
        <w:t>Члан 6</w:t>
      </w:r>
      <w:r w:rsidR="00541EA5" w:rsidRPr="00440058">
        <w:rPr>
          <w:b/>
          <w:color w:val="000000" w:themeColor="text1"/>
          <w:sz w:val="28"/>
          <w:szCs w:val="28"/>
          <w:lang w:val="sr-Cyrl-RS"/>
        </w:rPr>
        <w:t>.</w:t>
      </w:r>
    </w:p>
    <w:p w:rsidR="00083312" w:rsidRPr="00440058" w:rsidRDefault="00083312" w:rsidP="00541EA5">
      <w:pPr>
        <w:jc w:val="center"/>
        <w:rPr>
          <w:color w:val="000000" w:themeColor="text1"/>
          <w:sz w:val="28"/>
          <w:szCs w:val="28"/>
          <w:lang w:val="sr-Latn-RS"/>
        </w:rPr>
      </w:pPr>
    </w:p>
    <w:p w:rsidR="00541EA5" w:rsidRPr="00440058" w:rsidRDefault="00541EA5" w:rsidP="001E3322">
      <w:pPr>
        <w:ind w:firstLine="720"/>
        <w:jc w:val="both"/>
        <w:rPr>
          <w:color w:val="000000" w:themeColor="text1"/>
          <w:sz w:val="28"/>
          <w:szCs w:val="28"/>
          <w:lang w:val="sr-Cyrl-RS"/>
        </w:rPr>
      </w:pPr>
      <w:r w:rsidRPr="00440058">
        <w:rPr>
          <w:color w:val="000000" w:themeColor="text1"/>
          <w:sz w:val="28"/>
          <w:szCs w:val="28"/>
          <w:lang w:val="sr-Cyrl-RS"/>
        </w:rPr>
        <w:t>У члану 36. додаје се став 2</w:t>
      </w:r>
      <w:r w:rsidR="00083312" w:rsidRPr="00440058">
        <w:rPr>
          <w:color w:val="000000" w:themeColor="text1"/>
          <w:sz w:val="28"/>
          <w:szCs w:val="28"/>
          <w:lang w:val="sr-Cyrl-RS"/>
        </w:rPr>
        <w:t>.</w:t>
      </w:r>
      <w:r w:rsidRPr="00440058">
        <w:rPr>
          <w:color w:val="000000" w:themeColor="text1"/>
          <w:sz w:val="28"/>
          <w:szCs w:val="28"/>
          <w:lang w:val="sr-Cyrl-RS"/>
        </w:rPr>
        <w:t xml:space="preserve"> који гласи:</w:t>
      </w:r>
    </w:p>
    <w:p w:rsidR="00541EA5" w:rsidRPr="00440058" w:rsidRDefault="00541EA5" w:rsidP="001E3322">
      <w:pPr>
        <w:ind w:firstLine="720"/>
        <w:jc w:val="both"/>
        <w:rPr>
          <w:color w:val="000000" w:themeColor="text1"/>
          <w:sz w:val="28"/>
          <w:szCs w:val="28"/>
          <w:lang w:val="sr-Cyrl-RS"/>
        </w:rPr>
      </w:pPr>
      <w:r w:rsidRPr="00440058">
        <w:rPr>
          <w:color w:val="000000" w:themeColor="text1"/>
          <w:sz w:val="28"/>
          <w:szCs w:val="28"/>
          <w:lang w:val="sr-Cyrl-RS" w:eastAsia="sr-Latn-CS"/>
        </w:rPr>
        <w:t>„Инвеститорима који желе прикључење на топловодну мрежу</w:t>
      </w:r>
      <w:r w:rsidR="00D35E3D" w:rsidRPr="00440058">
        <w:rPr>
          <w:color w:val="000000" w:themeColor="text1"/>
          <w:sz w:val="28"/>
          <w:szCs w:val="28"/>
          <w:lang w:val="sr-Cyrl-RS" w:eastAsia="sr-Latn-CS"/>
        </w:rPr>
        <w:t>,</w:t>
      </w:r>
      <w:r w:rsidRPr="00440058">
        <w:rPr>
          <w:color w:val="000000" w:themeColor="text1"/>
          <w:sz w:val="28"/>
          <w:szCs w:val="28"/>
          <w:lang w:val="sr-Cyrl-RS" w:eastAsia="sr-Latn-CS"/>
        </w:rPr>
        <w:t xml:space="preserve"> а који су регулисали доприносе за уређивање грађевинског земљишта без регулисан</w:t>
      </w:r>
      <w:r w:rsidR="004D3E0D">
        <w:rPr>
          <w:color w:val="000000" w:themeColor="text1"/>
          <w:sz w:val="28"/>
          <w:szCs w:val="28"/>
          <w:lang w:val="sr-Cyrl-RS" w:eastAsia="sr-Latn-CS"/>
        </w:rPr>
        <w:t>ог</w:t>
      </w:r>
      <w:r w:rsidRPr="00440058">
        <w:rPr>
          <w:color w:val="000000" w:themeColor="text1"/>
          <w:sz w:val="28"/>
          <w:szCs w:val="28"/>
          <w:lang w:val="sr-Cyrl-RS" w:eastAsia="sr-Latn-CS"/>
        </w:rPr>
        <w:t xml:space="preserve"> </w:t>
      </w:r>
      <w:r w:rsidR="004D3E0D">
        <w:rPr>
          <w:color w:val="000000" w:themeColor="text1"/>
          <w:sz w:val="28"/>
          <w:szCs w:val="28"/>
          <w:lang w:val="sr-Cyrl-RS" w:eastAsia="sr-Latn-CS"/>
        </w:rPr>
        <w:t>доприноса</w:t>
      </w:r>
      <w:r w:rsidRPr="00440058">
        <w:rPr>
          <w:color w:val="000000" w:themeColor="text1"/>
          <w:sz w:val="28"/>
          <w:szCs w:val="28"/>
          <w:lang w:val="sr-Cyrl-RS" w:eastAsia="sr-Latn-CS"/>
        </w:rPr>
        <w:t xml:space="preserve"> за топлификацију, доприноси ће се </w:t>
      </w:r>
      <w:r w:rsidRPr="00440058">
        <w:rPr>
          <w:sz w:val="28"/>
          <w:szCs w:val="28"/>
          <w:lang w:val="sr-Cyrl-RS" w:eastAsia="sr-Latn-CS"/>
        </w:rPr>
        <w:t>обрачунати само</w:t>
      </w:r>
      <w:r w:rsidRPr="00440058">
        <w:rPr>
          <w:sz w:val="28"/>
          <w:szCs w:val="28"/>
          <w:lang w:val="en-US" w:eastAsia="sr-Latn-CS"/>
        </w:rPr>
        <w:t xml:space="preserve"> </w:t>
      </w:r>
      <w:r w:rsidRPr="00440058">
        <w:rPr>
          <w:sz w:val="28"/>
          <w:szCs w:val="28"/>
          <w:lang w:val="sr-Cyrl-RS" w:eastAsia="sr-Latn-CS"/>
        </w:rPr>
        <w:t>у делу који се односи на топлификацију.“</w:t>
      </w:r>
      <w:r w:rsidR="00083312" w:rsidRPr="00440058">
        <w:rPr>
          <w:color w:val="000000" w:themeColor="text1"/>
          <w:sz w:val="28"/>
          <w:szCs w:val="28"/>
          <w:lang w:val="sr-Cyrl-RS"/>
        </w:rPr>
        <w:t xml:space="preserve"> </w:t>
      </w:r>
    </w:p>
    <w:p w:rsidR="00276D8D" w:rsidRPr="00440058" w:rsidRDefault="00BE2A63" w:rsidP="003275E3">
      <w:pPr>
        <w:spacing w:before="240" w:after="120"/>
        <w:jc w:val="center"/>
        <w:rPr>
          <w:b/>
          <w:sz w:val="28"/>
          <w:szCs w:val="28"/>
          <w:lang w:val="sr-Cyrl-RS" w:eastAsia="sr-Latn-CS"/>
        </w:rPr>
      </w:pPr>
      <w:r>
        <w:rPr>
          <w:b/>
          <w:sz w:val="28"/>
          <w:szCs w:val="28"/>
          <w:lang w:val="sr-Cyrl-RS" w:eastAsia="sr-Latn-CS"/>
        </w:rPr>
        <w:t>Члан 7</w:t>
      </w:r>
      <w:r w:rsidR="00276D8D" w:rsidRPr="00440058">
        <w:rPr>
          <w:b/>
          <w:sz w:val="28"/>
          <w:szCs w:val="28"/>
          <w:lang w:val="sr-Cyrl-RS" w:eastAsia="sr-Latn-CS"/>
        </w:rPr>
        <w:t>.</w:t>
      </w:r>
    </w:p>
    <w:p w:rsidR="00083312" w:rsidRPr="00440058" w:rsidRDefault="00083312" w:rsidP="001E3322">
      <w:pPr>
        <w:ind w:firstLine="720"/>
        <w:jc w:val="both"/>
        <w:rPr>
          <w:color w:val="000000" w:themeColor="text1"/>
          <w:sz w:val="28"/>
          <w:szCs w:val="28"/>
          <w:lang w:val="sr-Cyrl-RS"/>
        </w:rPr>
      </w:pPr>
      <w:r w:rsidRPr="00440058">
        <w:rPr>
          <w:color w:val="000000" w:themeColor="text1"/>
          <w:sz w:val="28"/>
          <w:szCs w:val="28"/>
          <w:lang w:val="sr-Cyrl-RS"/>
        </w:rPr>
        <w:t>У члану 37. додаје се став 3. који гласи:</w:t>
      </w:r>
    </w:p>
    <w:p w:rsidR="001122F2" w:rsidRDefault="00083312" w:rsidP="001E3322">
      <w:pPr>
        <w:spacing w:before="240" w:after="120"/>
        <w:ind w:firstLine="720"/>
        <w:jc w:val="both"/>
        <w:rPr>
          <w:sz w:val="28"/>
          <w:szCs w:val="28"/>
          <w:lang w:val="sr-Cyrl-RS" w:eastAsia="sr-Latn-CS"/>
        </w:rPr>
      </w:pPr>
      <w:r w:rsidRPr="00440058">
        <w:rPr>
          <w:sz w:val="28"/>
          <w:szCs w:val="28"/>
          <w:lang w:val="sr-Cyrl-RS" w:eastAsia="sr-Latn-CS"/>
        </w:rPr>
        <w:t>„</w:t>
      </w:r>
      <w:r w:rsidR="003A6089">
        <w:rPr>
          <w:sz w:val="28"/>
          <w:szCs w:val="28"/>
          <w:lang w:val="sr-Cyrl-RS" w:eastAsia="sr-Latn-CS"/>
        </w:rPr>
        <w:t>О</w:t>
      </w:r>
      <w:r w:rsidR="00276D8D" w:rsidRPr="00440058">
        <w:rPr>
          <w:sz w:val="28"/>
          <w:szCs w:val="28"/>
          <w:lang w:val="sr-Cyrl-RS" w:eastAsia="sr-Latn-CS"/>
        </w:rPr>
        <w:t>брачун доприноса за уређивање</w:t>
      </w:r>
      <w:r w:rsidR="003A6089">
        <w:rPr>
          <w:sz w:val="28"/>
          <w:szCs w:val="28"/>
          <w:lang w:val="sr-Cyrl-RS" w:eastAsia="sr-Latn-CS"/>
        </w:rPr>
        <w:t xml:space="preserve"> грађевинског земљишта</w:t>
      </w:r>
      <w:r w:rsidR="00276D8D" w:rsidRPr="00440058">
        <w:rPr>
          <w:sz w:val="28"/>
          <w:szCs w:val="28"/>
          <w:lang w:val="sr-Cyrl-RS" w:eastAsia="sr-Latn-CS"/>
        </w:rPr>
        <w:t>,</w:t>
      </w:r>
      <w:r w:rsidR="003A6089">
        <w:rPr>
          <w:sz w:val="28"/>
          <w:szCs w:val="28"/>
          <w:lang w:val="sr-Cyrl-RS" w:eastAsia="sr-Latn-CS"/>
        </w:rPr>
        <w:t xml:space="preserve"> за који су поднети захтеви за издавање </w:t>
      </w:r>
      <w:r w:rsidR="003A6089" w:rsidRPr="003A6089">
        <w:rPr>
          <w:sz w:val="28"/>
          <w:szCs w:val="28"/>
          <w:lang w:val="sr-Cyrl-RS" w:eastAsia="sr-Latn-CS"/>
        </w:rPr>
        <w:t>решења о грађевинској дозволи, решења о одобрењу за извођење радова или решења о употребној дозволи</w:t>
      </w:r>
      <w:r w:rsidR="003A6089">
        <w:rPr>
          <w:sz w:val="28"/>
          <w:szCs w:val="28"/>
          <w:lang w:val="sr-Cyrl-RS" w:eastAsia="sr-Latn-CS"/>
        </w:rPr>
        <w:t>, наставиће се</w:t>
      </w:r>
      <w:r w:rsidR="00276D8D" w:rsidRPr="00440058">
        <w:rPr>
          <w:sz w:val="28"/>
          <w:szCs w:val="28"/>
          <w:lang w:val="sr-Cyrl-RS" w:eastAsia="sr-Latn-CS"/>
        </w:rPr>
        <w:t xml:space="preserve"> по прописима који су в</w:t>
      </w:r>
      <w:r w:rsidR="003A6089">
        <w:rPr>
          <w:sz w:val="28"/>
          <w:szCs w:val="28"/>
          <w:lang w:val="sr-Cyrl-RS" w:eastAsia="sr-Latn-CS"/>
        </w:rPr>
        <w:t>ажили у време подношења захтева</w:t>
      </w:r>
      <w:r w:rsidR="00276D8D" w:rsidRPr="00440058">
        <w:rPr>
          <w:sz w:val="28"/>
          <w:szCs w:val="28"/>
          <w:lang w:val="sr-Cyrl-RS" w:eastAsia="sr-Latn-CS"/>
        </w:rPr>
        <w:t>.</w:t>
      </w:r>
      <w:r w:rsidRPr="00440058">
        <w:rPr>
          <w:sz w:val="28"/>
          <w:szCs w:val="28"/>
          <w:lang w:val="sr-Cyrl-RS" w:eastAsia="sr-Latn-CS"/>
        </w:rPr>
        <w:t>“</w:t>
      </w:r>
    </w:p>
    <w:p w:rsidR="00276D8D" w:rsidRPr="00440058" w:rsidRDefault="00276D8D" w:rsidP="00541EA5">
      <w:pPr>
        <w:spacing w:before="240" w:after="120"/>
        <w:jc w:val="both"/>
        <w:rPr>
          <w:sz w:val="28"/>
          <w:szCs w:val="28"/>
          <w:lang w:val="sr-Cyrl-RS" w:eastAsia="sr-Latn-CS"/>
        </w:rPr>
      </w:pPr>
    </w:p>
    <w:p w:rsidR="00541EA5" w:rsidRPr="00440058" w:rsidRDefault="00541EA5" w:rsidP="00541EA5">
      <w:pPr>
        <w:spacing w:before="240" w:after="120"/>
        <w:jc w:val="center"/>
        <w:rPr>
          <w:b/>
          <w:bCs/>
          <w:color w:val="000000" w:themeColor="text1"/>
          <w:sz w:val="28"/>
          <w:szCs w:val="28"/>
          <w:lang w:eastAsia="sr-Latn-CS"/>
        </w:rPr>
      </w:pPr>
      <w:r w:rsidRPr="00440058">
        <w:rPr>
          <w:b/>
          <w:bCs/>
          <w:color w:val="000000" w:themeColor="text1"/>
          <w:sz w:val="28"/>
          <w:szCs w:val="28"/>
          <w:lang w:eastAsia="sr-Latn-CS"/>
        </w:rPr>
        <w:t xml:space="preserve">Члан </w:t>
      </w:r>
      <w:r w:rsidR="00BE2A63">
        <w:rPr>
          <w:b/>
          <w:bCs/>
          <w:color w:val="000000" w:themeColor="text1"/>
          <w:sz w:val="28"/>
          <w:szCs w:val="28"/>
          <w:lang w:val="sr-Cyrl-RS" w:eastAsia="sr-Latn-CS"/>
        </w:rPr>
        <w:t>8</w:t>
      </w:r>
      <w:r w:rsidRPr="00440058">
        <w:rPr>
          <w:b/>
          <w:bCs/>
          <w:color w:val="000000" w:themeColor="text1"/>
          <w:sz w:val="28"/>
          <w:szCs w:val="28"/>
          <w:lang w:val="sr-Cyrl-RS" w:eastAsia="sr-Latn-CS"/>
        </w:rPr>
        <w:t>.</w:t>
      </w:r>
      <w:r w:rsidRPr="00440058">
        <w:rPr>
          <w:b/>
          <w:bCs/>
          <w:color w:val="000000" w:themeColor="text1"/>
          <w:sz w:val="28"/>
          <w:szCs w:val="28"/>
          <w:lang w:eastAsia="sr-Latn-CS"/>
        </w:rPr>
        <w:t> </w:t>
      </w:r>
    </w:p>
    <w:p w:rsidR="00FF5272" w:rsidRPr="00440058" w:rsidRDefault="00541EA5" w:rsidP="001E3322">
      <w:pPr>
        <w:ind w:firstLine="567"/>
        <w:jc w:val="both"/>
        <w:rPr>
          <w:b/>
          <w:color w:val="000000" w:themeColor="text1"/>
          <w:sz w:val="28"/>
          <w:szCs w:val="28"/>
          <w:lang w:val="sr-Cyrl-RS"/>
        </w:rPr>
      </w:pPr>
      <w:r w:rsidRPr="00440058">
        <w:rPr>
          <w:color w:val="000000" w:themeColor="text1"/>
          <w:sz w:val="28"/>
          <w:szCs w:val="28"/>
          <w:lang w:val="sr-Cyrl-RS" w:eastAsia="sr-Latn-CS"/>
        </w:rPr>
        <w:t xml:space="preserve">Ова Одлука ступа на снагу осмог дана од дана објављивања у </w:t>
      </w:r>
      <w:r w:rsidRPr="00440058">
        <w:rPr>
          <w:color w:val="000000" w:themeColor="text1"/>
          <w:sz w:val="28"/>
          <w:szCs w:val="28"/>
          <w:lang w:eastAsia="sr-Latn-CS"/>
        </w:rPr>
        <w:t>"Службеном листу града Ниша".</w:t>
      </w:r>
    </w:p>
    <w:p w:rsidR="008F02FD" w:rsidRPr="00440058" w:rsidRDefault="008F02FD" w:rsidP="008F02FD">
      <w:pPr>
        <w:jc w:val="both"/>
        <w:rPr>
          <w:sz w:val="28"/>
          <w:szCs w:val="28"/>
          <w:lang w:val="sr-Latn-RS"/>
        </w:rPr>
      </w:pPr>
    </w:p>
    <w:p w:rsidR="008F02FD" w:rsidRPr="00440058" w:rsidRDefault="008F02FD" w:rsidP="008F02FD">
      <w:pPr>
        <w:suppressLineNumbers/>
        <w:autoSpaceDE w:val="0"/>
        <w:autoSpaceDN w:val="0"/>
        <w:adjustRightInd w:val="0"/>
        <w:ind w:firstLine="567"/>
        <w:jc w:val="both"/>
        <w:rPr>
          <w:rFonts w:eastAsiaTheme="minorHAnsi"/>
          <w:sz w:val="28"/>
          <w:szCs w:val="28"/>
          <w:lang w:val="en-US" w:eastAsia="en-US"/>
        </w:rPr>
      </w:pPr>
      <w:proofErr w:type="spellStart"/>
      <w:r w:rsidRPr="00440058">
        <w:rPr>
          <w:rFonts w:eastAsiaTheme="minorHAnsi"/>
          <w:sz w:val="28"/>
          <w:szCs w:val="28"/>
          <w:lang w:val="en-US" w:eastAsia="en-US"/>
        </w:rPr>
        <w:t>Број</w:t>
      </w:r>
      <w:proofErr w:type="spellEnd"/>
      <w:r w:rsidRPr="00440058">
        <w:rPr>
          <w:rFonts w:eastAsiaTheme="minorHAnsi"/>
          <w:sz w:val="28"/>
          <w:szCs w:val="28"/>
          <w:lang w:val="en-US" w:eastAsia="en-US"/>
        </w:rPr>
        <w:t xml:space="preserve">: </w:t>
      </w:r>
    </w:p>
    <w:p w:rsidR="008F02FD" w:rsidRPr="00440058" w:rsidRDefault="008F02FD" w:rsidP="008F02FD">
      <w:pPr>
        <w:suppressLineNumbers/>
        <w:autoSpaceDE w:val="0"/>
        <w:autoSpaceDN w:val="0"/>
        <w:adjustRightInd w:val="0"/>
        <w:ind w:firstLine="567"/>
        <w:jc w:val="both"/>
        <w:rPr>
          <w:rFonts w:eastAsiaTheme="minorHAnsi"/>
          <w:sz w:val="28"/>
          <w:szCs w:val="28"/>
          <w:lang w:val="sr-Cyrl-RS" w:eastAsia="en-US"/>
        </w:rPr>
      </w:pPr>
      <w:r w:rsidRPr="00440058">
        <w:rPr>
          <w:rFonts w:eastAsiaTheme="minorHAnsi"/>
          <w:sz w:val="28"/>
          <w:szCs w:val="28"/>
          <w:lang w:val="en-US" w:eastAsia="en-US"/>
        </w:rPr>
        <w:t xml:space="preserve">У </w:t>
      </w:r>
      <w:proofErr w:type="spellStart"/>
      <w:r w:rsidRPr="00440058">
        <w:rPr>
          <w:rFonts w:eastAsiaTheme="minorHAnsi"/>
          <w:sz w:val="28"/>
          <w:szCs w:val="28"/>
          <w:lang w:val="en-US" w:eastAsia="en-US"/>
        </w:rPr>
        <w:t>Нишу</w:t>
      </w:r>
      <w:proofErr w:type="spellEnd"/>
      <w:r w:rsidRPr="00440058">
        <w:rPr>
          <w:rFonts w:eastAsiaTheme="minorHAnsi"/>
          <w:sz w:val="28"/>
          <w:szCs w:val="28"/>
          <w:lang w:val="en-US" w:eastAsia="en-US"/>
        </w:rPr>
        <w:t xml:space="preserve">, </w:t>
      </w:r>
    </w:p>
    <w:p w:rsidR="008F02FD" w:rsidRPr="00440058" w:rsidRDefault="008F02FD" w:rsidP="008F02FD">
      <w:pPr>
        <w:suppressLineNumbers/>
        <w:autoSpaceDE w:val="0"/>
        <w:autoSpaceDN w:val="0"/>
        <w:adjustRightInd w:val="0"/>
        <w:jc w:val="both"/>
        <w:rPr>
          <w:rFonts w:eastAsiaTheme="minorHAnsi"/>
          <w:b/>
          <w:bCs/>
          <w:sz w:val="28"/>
          <w:szCs w:val="28"/>
          <w:lang w:val="en-US" w:eastAsia="en-US"/>
        </w:rPr>
      </w:pPr>
    </w:p>
    <w:p w:rsidR="008F02FD" w:rsidRPr="00440058" w:rsidRDefault="008F02FD" w:rsidP="008F02FD">
      <w:pPr>
        <w:suppressLineNumbers/>
        <w:autoSpaceDE w:val="0"/>
        <w:autoSpaceDN w:val="0"/>
        <w:adjustRightInd w:val="0"/>
        <w:jc w:val="center"/>
        <w:rPr>
          <w:rFonts w:eastAsiaTheme="minorHAnsi"/>
          <w:b/>
          <w:bCs/>
          <w:sz w:val="28"/>
          <w:szCs w:val="28"/>
          <w:lang w:val="en-US" w:eastAsia="en-US"/>
        </w:rPr>
      </w:pPr>
      <w:r w:rsidRPr="00440058">
        <w:rPr>
          <w:rFonts w:eastAsiaTheme="minorHAnsi"/>
          <w:b/>
          <w:bCs/>
          <w:sz w:val="28"/>
          <w:szCs w:val="28"/>
          <w:lang w:val="en-US" w:eastAsia="en-US"/>
        </w:rPr>
        <w:t>СКУПШТИНА ГРАДА НИША</w:t>
      </w:r>
    </w:p>
    <w:p w:rsidR="008F02FD" w:rsidRPr="00440058" w:rsidRDefault="008F02FD" w:rsidP="008F02FD">
      <w:pPr>
        <w:suppressLineNumbers/>
        <w:autoSpaceDE w:val="0"/>
        <w:autoSpaceDN w:val="0"/>
        <w:adjustRightInd w:val="0"/>
        <w:ind w:left="6588" w:firstLine="612"/>
        <w:jc w:val="center"/>
        <w:rPr>
          <w:rFonts w:eastAsiaTheme="minorHAnsi"/>
          <w:sz w:val="28"/>
          <w:szCs w:val="28"/>
          <w:lang w:val="sr-Cyrl-RS" w:eastAsia="en-US"/>
        </w:rPr>
      </w:pPr>
      <w:proofErr w:type="spellStart"/>
      <w:r w:rsidRPr="00440058">
        <w:rPr>
          <w:rFonts w:eastAsiaTheme="minorHAnsi"/>
          <w:sz w:val="28"/>
          <w:szCs w:val="28"/>
          <w:lang w:val="en-US" w:eastAsia="en-US"/>
        </w:rPr>
        <w:t>Председник</w:t>
      </w:r>
      <w:proofErr w:type="spellEnd"/>
    </w:p>
    <w:p w:rsidR="008F02FD" w:rsidRPr="00440058" w:rsidRDefault="008F02FD" w:rsidP="008F02FD">
      <w:pPr>
        <w:suppressLineNumbers/>
        <w:autoSpaceDE w:val="0"/>
        <w:autoSpaceDN w:val="0"/>
        <w:adjustRightInd w:val="0"/>
        <w:ind w:left="6588" w:firstLine="612"/>
        <w:jc w:val="center"/>
        <w:rPr>
          <w:rFonts w:eastAsiaTheme="minorHAnsi"/>
          <w:sz w:val="28"/>
          <w:szCs w:val="28"/>
          <w:lang w:val="sr-Cyrl-RS" w:eastAsia="en-US"/>
        </w:rPr>
      </w:pPr>
    </w:p>
    <w:p w:rsidR="00E116A4" w:rsidRPr="00440058" w:rsidRDefault="008F02FD" w:rsidP="008F02FD">
      <w:pPr>
        <w:ind w:left="6480" w:firstLine="108"/>
        <w:rPr>
          <w:sz w:val="28"/>
          <w:szCs w:val="28"/>
          <w:lang w:val="sr-Latn-RS"/>
        </w:rPr>
      </w:pPr>
      <w:r w:rsidRPr="00440058">
        <w:rPr>
          <w:rFonts w:eastAsiaTheme="minorHAnsi"/>
          <w:sz w:val="28"/>
          <w:szCs w:val="28"/>
          <w:lang w:val="sr-Cyrl-RS" w:eastAsia="en-US"/>
        </w:rPr>
        <w:t xml:space="preserve">      </w:t>
      </w:r>
      <w:r w:rsidR="00440058">
        <w:rPr>
          <w:rFonts w:eastAsiaTheme="minorHAnsi"/>
          <w:sz w:val="28"/>
          <w:szCs w:val="28"/>
          <w:lang w:val="sr-Latn-RS" w:eastAsia="en-US"/>
        </w:rPr>
        <w:t xml:space="preserve">  </w:t>
      </w:r>
      <w:proofErr w:type="spellStart"/>
      <w:r w:rsidRPr="00440058">
        <w:rPr>
          <w:rFonts w:eastAsiaTheme="minorHAnsi"/>
          <w:sz w:val="28"/>
          <w:szCs w:val="28"/>
          <w:lang w:val="en-US" w:eastAsia="en-US"/>
        </w:rPr>
        <w:t>Мр</w:t>
      </w:r>
      <w:proofErr w:type="spellEnd"/>
      <w:r w:rsidRPr="00440058">
        <w:rPr>
          <w:rFonts w:eastAsiaTheme="minorHAnsi"/>
          <w:sz w:val="28"/>
          <w:szCs w:val="28"/>
          <w:lang w:val="en-US" w:eastAsia="en-US"/>
        </w:rPr>
        <w:t xml:space="preserve"> </w:t>
      </w:r>
      <w:proofErr w:type="spellStart"/>
      <w:r w:rsidRPr="00440058">
        <w:rPr>
          <w:rFonts w:eastAsiaTheme="minorHAnsi"/>
          <w:sz w:val="28"/>
          <w:szCs w:val="28"/>
          <w:lang w:val="en-US" w:eastAsia="en-US"/>
        </w:rPr>
        <w:t>Раде</w:t>
      </w:r>
      <w:proofErr w:type="spellEnd"/>
      <w:r w:rsidRPr="00440058">
        <w:rPr>
          <w:rFonts w:eastAsiaTheme="minorHAnsi"/>
          <w:sz w:val="28"/>
          <w:szCs w:val="28"/>
          <w:lang w:val="en-US" w:eastAsia="en-US"/>
        </w:rPr>
        <w:t xml:space="preserve"> </w:t>
      </w:r>
      <w:proofErr w:type="spellStart"/>
      <w:r w:rsidRPr="00440058">
        <w:rPr>
          <w:rFonts w:eastAsiaTheme="minorHAnsi"/>
          <w:sz w:val="28"/>
          <w:szCs w:val="28"/>
          <w:lang w:val="en-US" w:eastAsia="en-US"/>
        </w:rPr>
        <w:t>Рајковић</w:t>
      </w:r>
      <w:proofErr w:type="spellEnd"/>
    </w:p>
    <w:p w:rsidR="00E116A4" w:rsidRPr="00440058" w:rsidRDefault="00E116A4" w:rsidP="00E116A4">
      <w:pPr>
        <w:rPr>
          <w:sz w:val="28"/>
          <w:szCs w:val="28"/>
          <w:lang w:val="sr-Latn-RS"/>
        </w:rPr>
      </w:pPr>
    </w:p>
    <w:p w:rsidR="00E116A4" w:rsidRPr="00440058" w:rsidRDefault="00E116A4" w:rsidP="00E116A4">
      <w:pPr>
        <w:rPr>
          <w:sz w:val="28"/>
          <w:szCs w:val="28"/>
          <w:lang w:val="sr-Cyrl-RS"/>
        </w:rPr>
      </w:pPr>
    </w:p>
    <w:p w:rsidR="00FF5272" w:rsidRDefault="00FF5272" w:rsidP="00C7453D">
      <w:pPr>
        <w:rPr>
          <w:sz w:val="28"/>
          <w:szCs w:val="28"/>
          <w:lang w:val="sr-Cyrl-RS"/>
        </w:rPr>
      </w:pPr>
    </w:p>
    <w:p w:rsidR="001122F2" w:rsidRDefault="001122F2" w:rsidP="00C7453D">
      <w:pPr>
        <w:rPr>
          <w:sz w:val="28"/>
          <w:szCs w:val="28"/>
          <w:lang w:val="sr-Cyrl-RS"/>
        </w:rPr>
      </w:pPr>
    </w:p>
    <w:p w:rsidR="001122F2" w:rsidRDefault="001122F2" w:rsidP="00C7453D">
      <w:pPr>
        <w:rPr>
          <w:sz w:val="28"/>
          <w:szCs w:val="28"/>
          <w:lang w:val="sr-Cyrl-RS"/>
        </w:rPr>
      </w:pPr>
    </w:p>
    <w:p w:rsidR="001122F2" w:rsidRDefault="001122F2" w:rsidP="00C7453D">
      <w:pPr>
        <w:rPr>
          <w:sz w:val="28"/>
          <w:szCs w:val="28"/>
          <w:lang w:val="sr-Cyrl-RS"/>
        </w:rPr>
      </w:pPr>
    </w:p>
    <w:p w:rsidR="001122F2" w:rsidRDefault="001122F2" w:rsidP="00C7453D">
      <w:pPr>
        <w:rPr>
          <w:sz w:val="28"/>
          <w:szCs w:val="28"/>
          <w:lang w:val="sr-Cyrl-RS"/>
        </w:rPr>
      </w:pPr>
    </w:p>
    <w:p w:rsidR="001122F2" w:rsidRDefault="001122F2" w:rsidP="00C7453D">
      <w:pPr>
        <w:rPr>
          <w:sz w:val="28"/>
          <w:szCs w:val="28"/>
          <w:lang w:val="sr-Cyrl-RS"/>
        </w:rPr>
      </w:pPr>
    </w:p>
    <w:p w:rsidR="001122F2" w:rsidRDefault="001122F2" w:rsidP="00C7453D">
      <w:pPr>
        <w:rPr>
          <w:sz w:val="28"/>
          <w:szCs w:val="28"/>
          <w:lang w:val="sr-Cyrl-RS"/>
        </w:rPr>
      </w:pPr>
    </w:p>
    <w:p w:rsidR="001122F2" w:rsidRDefault="001122F2" w:rsidP="00C7453D">
      <w:pPr>
        <w:rPr>
          <w:sz w:val="28"/>
          <w:szCs w:val="28"/>
          <w:lang w:val="sr-Cyrl-RS"/>
        </w:rPr>
      </w:pPr>
    </w:p>
    <w:p w:rsidR="001122F2" w:rsidRDefault="001122F2" w:rsidP="00C7453D">
      <w:pPr>
        <w:rPr>
          <w:sz w:val="28"/>
          <w:szCs w:val="28"/>
          <w:lang w:val="sr-Cyrl-RS"/>
        </w:rPr>
      </w:pPr>
    </w:p>
    <w:p w:rsidR="001122F2" w:rsidRDefault="001122F2" w:rsidP="00C7453D">
      <w:pPr>
        <w:rPr>
          <w:sz w:val="28"/>
          <w:szCs w:val="28"/>
          <w:lang w:val="sr-Cyrl-RS"/>
        </w:rPr>
      </w:pPr>
    </w:p>
    <w:p w:rsidR="001122F2" w:rsidRDefault="001122F2" w:rsidP="00C7453D">
      <w:pPr>
        <w:rPr>
          <w:sz w:val="28"/>
          <w:szCs w:val="28"/>
          <w:lang w:val="sr-Cyrl-RS"/>
        </w:rPr>
      </w:pPr>
    </w:p>
    <w:p w:rsidR="001122F2" w:rsidRDefault="001122F2" w:rsidP="00C7453D">
      <w:pPr>
        <w:rPr>
          <w:sz w:val="28"/>
          <w:szCs w:val="28"/>
          <w:lang w:val="sr-Cyrl-RS"/>
        </w:rPr>
      </w:pPr>
    </w:p>
    <w:p w:rsidR="001122F2" w:rsidRDefault="001122F2" w:rsidP="00C7453D">
      <w:pPr>
        <w:rPr>
          <w:sz w:val="28"/>
          <w:szCs w:val="28"/>
          <w:lang w:val="sr-Cyrl-RS"/>
        </w:rPr>
      </w:pPr>
    </w:p>
    <w:p w:rsidR="001122F2" w:rsidRDefault="001122F2" w:rsidP="00C7453D">
      <w:pPr>
        <w:rPr>
          <w:sz w:val="28"/>
          <w:szCs w:val="28"/>
          <w:lang w:val="sr-Cyrl-RS"/>
        </w:rPr>
      </w:pPr>
    </w:p>
    <w:p w:rsidR="001122F2" w:rsidRDefault="001122F2" w:rsidP="00C7453D">
      <w:pPr>
        <w:rPr>
          <w:sz w:val="28"/>
          <w:szCs w:val="28"/>
          <w:lang w:val="sr-Cyrl-RS"/>
        </w:rPr>
      </w:pPr>
    </w:p>
    <w:p w:rsidR="001122F2" w:rsidRDefault="001122F2" w:rsidP="00C7453D">
      <w:pPr>
        <w:rPr>
          <w:sz w:val="28"/>
          <w:szCs w:val="28"/>
          <w:lang w:val="sr-Cyrl-RS"/>
        </w:rPr>
      </w:pPr>
    </w:p>
    <w:p w:rsidR="001122F2" w:rsidRDefault="001122F2" w:rsidP="00C7453D">
      <w:pPr>
        <w:rPr>
          <w:sz w:val="28"/>
          <w:szCs w:val="28"/>
          <w:lang w:val="sr-Cyrl-RS"/>
        </w:rPr>
      </w:pPr>
    </w:p>
    <w:p w:rsidR="001122F2" w:rsidRDefault="001122F2" w:rsidP="00C7453D">
      <w:pPr>
        <w:rPr>
          <w:sz w:val="28"/>
          <w:szCs w:val="28"/>
          <w:lang w:val="sr-Cyrl-RS"/>
        </w:rPr>
      </w:pPr>
    </w:p>
    <w:p w:rsidR="001122F2" w:rsidRDefault="001122F2" w:rsidP="00C7453D">
      <w:pPr>
        <w:rPr>
          <w:sz w:val="28"/>
          <w:szCs w:val="28"/>
          <w:lang w:val="sr-Cyrl-RS"/>
        </w:rPr>
      </w:pPr>
    </w:p>
    <w:p w:rsidR="001122F2" w:rsidRDefault="001122F2" w:rsidP="00C7453D">
      <w:pPr>
        <w:rPr>
          <w:sz w:val="28"/>
          <w:szCs w:val="28"/>
          <w:lang w:val="sr-Cyrl-RS"/>
        </w:rPr>
      </w:pPr>
    </w:p>
    <w:p w:rsidR="001122F2" w:rsidRDefault="001122F2" w:rsidP="00C7453D">
      <w:pPr>
        <w:rPr>
          <w:sz w:val="28"/>
          <w:szCs w:val="28"/>
          <w:lang w:val="sr-Cyrl-RS"/>
        </w:rPr>
      </w:pPr>
    </w:p>
    <w:p w:rsidR="001122F2" w:rsidRDefault="001122F2" w:rsidP="00C7453D">
      <w:pPr>
        <w:rPr>
          <w:sz w:val="28"/>
          <w:szCs w:val="28"/>
          <w:lang w:val="sr-Cyrl-RS"/>
        </w:rPr>
      </w:pPr>
    </w:p>
    <w:p w:rsidR="001122F2" w:rsidRDefault="001122F2" w:rsidP="00C7453D">
      <w:pPr>
        <w:rPr>
          <w:sz w:val="28"/>
          <w:szCs w:val="28"/>
          <w:lang w:val="sr-Cyrl-RS"/>
        </w:rPr>
      </w:pPr>
    </w:p>
    <w:p w:rsidR="001122F2" w:rsidRPr="00AE67F0" w:rsidRDefault="001122F2" w:rsidP="00C7453D">
      <w:pPr>
        <w:rPr>
          <w:sz w:val="28"/>
          <w:szCs w:val="28"/>
          <w:lang w:val="sr-Latn-RS"/>
        </w:rPr>
      </w:pPr>
      <w:bookmarkStart w:id="19" w:name="_GoBack"/>
      <w:bookmarkEnd w:id="19"/>
    </w:p>
    <w:p w:rsidR="00BB3054" w:rsidRPr="00440058" w:rsidRDefault="00BB3054" w:rsidP="001D2D1F">
      <w:pPr>
        <w:jc w:val="center"/>
        <w:rPr>
          <w:sz w:val="28"/>
          <w:szCs w:val="28"/>
          <w:lang w:val="sr-Cyrl-RS"/>
        </w:rPr>
      </w:pPr>
      <w:r w:rsidRPr="00440058">
        <w:rPr>
          <w:sz w:val="28"/>
          <w:szCs w:val="28"/>
        </w:rPr>
        <w:t>О б р а з л о ж е њ е</w:t>
      </w:r>
    </w:p>
    <w:p w:rsidR="00BB3054" w:rsidRPr="00440058" w:rsidRDefault="00BB3054" w:rsidP="00BB3054">
      <w:pPr>
        <w:jc w:val="center"/>
        <w:rPr>
          <w:sz w:val="28"/>
          <w:szCs w:val="28"/>
          <w:lang w:val="sr-Cyrl-RS"/>
        </w:rPr>
      </w:pPr>
    </w:p>
    <w:p w:rsidR="00DE4137" w:rsidRPr="00440058" w:rsidRDefault="00BB3054" w:rsidP="00DE4137">
      <w:pPr>
        <w:ind w:firstLine="708"/>
        <w:jc w:val="both"/>
        <w:rPr>
          <w:sz w:val="28"/>
          <w:szCs w:val="28"/>
          <w:lang w:val="sr-Cyrl-RS"/>
        </w:rPr>
      </w:pPr>
      <w:r w:rsidRPr="00440058">
        <w:rPr>
          <w:sz w:val="28"/>
          <w:szCs w:val="28"/>
        </w:rPr>
        <w:t xml:space="preserve">Правни основ за доношење Одлуке </w:t>
      </w:r>
      <w:r w:rsidRPr="00440058">
        <w:rPr>
          <w:bCs/>
          <w:sz w:val="28"/>
          <w:szCs w:val="28"/>
        </w:rPr>
        <w:t xml:space="preserve">о </w:t>
      </w:r>
      <w:r w:rsidR="008F02FD" w:rsidRPr="00440058">
        <w:rPr>
          <w:bCs/>
          <w:sz w:val="28"/>
          <w:szCs w:val="28"/>
          <w:lang w:val="sr-Cyrl-RS"/>
        </w:rPr>
        <w:t>изменама</w:t>
      </w:r>
      <w:r w:rsidR="008B35BA" w:rsidRPr="00440058">
        <w:rPr>
          <w:bCs/>
          <w:sz w:val="28"/>
          <w:szCs w:val="28"/>
          <w:lang w:val="sr-Cyrl-RS"/>
        </w:rPr>
        <w:t xml:space="preserve"> и </w:t>
      </w:r>
      <w:r w:rsidR="008F02FD" w:rsidRPr="00440058">
        <w:rPr>
          <w:bCs/>
          <w:sz w:val="28"/>
          <w:szCs w:val="28"/>
          <w:lang w:val="sr-Cyrl-RS"/>
        </w:rPr>
        <w:t>допунама</w:t>
      </w:r>
      <w:r w:rsidR="008B35BA" w:rsidRPr="00440058">
        <w:rPr>
          <w:bCs/>
          <w:sz w:val="28"/>
          <w:szCs w:val="28"/>
          <w:lang w:val="sr-Cyrl-RS"/>
        </w:rPr>
        <w:t xml:space="preserve"> Одлуке о утврђивању доприноса за уређивање грађевинског земљишта,</w:t>
      </w:r>
      <w:r w:rsidR="008B35BA" w:rsidRPr="00440058">
        <w:rPr>
          <w:sz w:val="28"/>
          <w:szCs w:val="28"/>
        </w:rPr>
        <w:t xml:space="preserve"> </w:t>
      </w:r>
      <w:r w:rsidR="008B35BA" w:rsidRPr="00440058">
        <w:rPr>
          <w:bCs/>
          <w:sz w:val="28"/>
          <w:szCs w:val="28"/>
        </w:rPr>
        <w:t xml:space="preserve">садржан </w:t>
      </w:r>
      <w:r w:rsidR="008B35BA" w:rsidRPr="00440058">
        <w:rPr>
          <w:sz w:val="28"/>
          <w:szCs w:val="28"/>
        </w:rPr>
        <w:t>је</w:t>
      </w:r>
      <w:r w:rsidR="008B35BA" w:rsidRPr="00440058">
        <w:rPr>
          <w:bCs/>
          <w:sz w:val="28"/>
          <w:szCs w:val="28"/>
          <w:lang w:val="sr-Cyrl-RS"/>
        </w:rPr>
        <w:t xml:space="preserve"> у члану 97. став 7. Закона о планирању и изградњи ("Службени гласник РС", бр. 72/09, 81/09 - исправка, 64/10 - одлука УС, 24/11, 121/12, 42/13 - одлука УС, 50/13 - одлука УС, 98/13 - одлука УС, 132/14, 145/14 и 83/2018)</w:t>
      </w:r>
      <w:r w:rsidRPr="00440058">
        <w:rPr>
          <w:bCs/>
          <w:sz w:val="28"/>
          <w:szCs w:val="28"/>
        </w:rPr>
        <w:t xml:space="preserve"> </w:t>
      </w:r>
      <w:r w:rsidRPr="00440058">
        <w:rPr>
          <w:sz w:val="28"/>
          <w:szCs w:val="28"/>
        </w:rPr>
        <w:t xml:space="preserve">и члану 37. </w:t>
      </w:r>
      <w:r w:rsidR="008F02FD" w:rsidRPr="00440058">
        <w:rPr>
          <w:sz w:val="28"/>
          <w:szCs w:val="28"/>
        </w:rPr>
        <w:t>Статута Града Ниша ("Службени лист Града Ниша", бр. 88/2008 и 143/2016)</w:t>
      </w:r>
      <w:r w:rsidRPr="00440058">
        <w:rPr>
          <w:sz w:val="28"/>
          <w:szCs w:val="28"/>
        </w:rPr>
        <w:t>, којима је прописана над</w:t>
      </w:r>
      <w:r w:rsidR="008B35BA" w:rsidRPr="00440058">
        <w:rPr>
          <w:sz w:val="28"/>
          <w:szCs w:val="28"/>
        </w:rPr>
        <w:t xml:space="preserve">лежност Скупштине Града Ниша да </w:t>
      </w:r>
      <w:r w:rsidR="008B35BA" w:rsidRPr="00440058">
        <w:rPr>
          <w:sz w:val="28"/>
          <w:szCs w:val="28"/>
          <w:lang w:val="sr-Cyrl-RS"/>
        </w:rPr>
        <w:t>утврђује накнаду – допринос за уређивање грађевинског земљишта</w:t>
      </w:r>
      <w:r w:rsidRPr="00440058">
        <w:rPr>
          <w:sz w:val="28"/>
          <w:szCs w:val="28"/>
        </w:rPr>
        <w:t>.</w:t>
      </w:r>
    </w:p>
    <w:p w:rsidR="00DE4137" w:rsidRPr="00440058" w:rsidRDefault="00DE4137" w:rsidP="00DE4137">
      <w:pPr>
        <w:suppressAutoHyphens/>
        <w:ind w:firstLine="567"/>
        <w:jc w:val="both"/>
        <w:rPr>
          <w:bCs/>
          <w:sz w:val="28"/>
          <w:szCs w:val="28"/>
          <w:lang w:val="sr-Cyrl-RS"/>
        </w:rPr>
      </w:pPr>
      <w:r w:rsidRPr="00440058">
        <w:rPr>
          <w:sz w:val="28"/>
          <w:szCs w:val="28"/>
          <w:lang w:val="ru-RU"/>
        </w:rPr>
        <w:t xml:space="preserve">    </w:t>
      </w:r>
      <w:r w:rsidRPr="00440058">
        <w:rPr>
          <w:bCs/>
          <w:sz w:val="28"/>
          <w:szCs w:val="28"/>
        </w:rPr>
        <w:t>Измена</w:t>
      </w:r>
      <w:r w:rsidRPr="00440058">
        <w:rPr>
          <w:b/>
          <w:bCs/>
          <w:sz w:val="28"/>
          <w:szCs w:val="28"/>
        </w:rPr>
        <w:t xml:space="preserve"> </w:t>
      </w:r>
      <w:r w:rsidRPr="00440058">
        <w:rPr>
          <w:sz w:val="28"/>
          <w:szCs w:val="28"/>
        </w:rPr>
        <w:t xml:space="preserve">Одлуке </w:t>
      </w:r>
      <w:r w:rsidRPr="00440058">
        <w:rPr>
          <w:bCs/>
          <w:sz w:val="28"/>
          <w:szCs w:val="28"/>
          <w:lang w:val="sr-Cyrl-RS"/>
        </w:rPr>
        <w:t>о утврђивању доприноса за уређивање грађевинског земљишта условљена је потребом да се доприносом обухвати и топлификација као део комуналне инфраструктуре</w:t>
      </w:r>
      <w:r w:rsidR="009C089F" w:rsidRPr="00440058">
        <w:rPr>
          <w:bCs/>
          <w:sz w:val="28"/>
          <w:szCs w:val="28"/>
          <w:lang w:val="sr-Cyrl-RS"/>
        </w:rPr>
        <w:t>,</w:t>
      </w:r>
      <w:r w:rsidRPr="00440058">
        <w:rPr>
          <w:bCs/>
          <w:sz w:val="28"/>
          <w:szCs w:val="28"/>
          <w:lang w:val="sr-Cyrl-RS"/>
        </w:rPr>
        <w:t xml:space="preserve"> као и прецизно дефинисање начина обрачуна и плаћања доприноса у случају умањења приликом једнократне уплате.</w:t>
      </w:r>
    </w:p>
    <w:p w:rsidR="00DE4137" w:rsidRPr="00440058" w:rsidRDefault="00592B1E" w:rsidP="0067043F">
      <w:pPr>
        <w:suppressAutoHyphens/>
        <w:ind w:firstLine="567"/>
        <w:jc w:val="both"/>
        <w:rPr>
          <w:bCs/>
          <w:sz w:val="28"/>
          <w:szCs w:val="28"/>
          <w:lang w:val="sr-Cyrl-RS"/>
        </w:rPr>
      </w:pPr>
      <w:r w:rsidRPr="00440058">
        <w:rPr>
          <w:bCs/>
          <w:sz w:val="28"/>
          <w:szCs w:val="28"/>
          <w:lang w:val="sr-Cyrl-RS"/>
        </w:rPr>
        <w:t>Измене и допуне Одлуке извршене су кроз промену коефицијента зоне, повећањем истог за 20% што представља процењену вредност неопходну за изградњу градске топловодне мреже. Поменуто повећање коефицијента зоне у оквиру је законом прописаног максималног износа коефицијента који не може бити већи од 0,1.</w:t>
      </w:r>
      <w:r w:rsidR="00DE4137" w:rsidRPr="00440058">
        <w:rPr>
          <w:bCs/>
          <w:sz w:val="28"/>
          <w:szCs w:val="28"/>
          <w:lang w:val="sr-Cyrl-RS"/>
        </w:rPr>
        <w:t xml:space="preserve"> </w:t>
      </w:r>
      <w:r w:rsidRPr="00440058">
        <w:rPr>
          <w:bCs/>
          <w:sz w:val="28"/>
          <w:szCs w:val="28"/>
          <w:lang w:val="sr-Cyrl-RS"/>
        </w:rPr>
        <w:t xml:space="preserve">Повећање коефицијента зоне </w:t>
      </w:r>
      <w:r w:rsidR="001220DF" w:rsidRPr="00440058">
        <w:rPr>
          <w:bCs/>
          <w:sz w:val="28"/>
          <w:szCs w:val="28"/>
          <w:lang w:val="sr-Cyrl-RS"/>
        </w:rPr>
        <w:t xml:space="preserve">не доводи до повећања </w:t>
      </w:r>
      <w:r w:rsidRPr="00440058">
        <w:rPr>
          <w:bCs/>
          <w:sz w:val="28"/>
          <w:szCs w:val="28"/>
          <w:lang w:val="sr-Cyrl-RS"/>
        </w:rPr>
        <w:t xml:space="preserve"> доприноса </w:t>
      </w:r>
      <w:r w:rsidR="001220DF" w:rsidRPr="00440058">
        <w:rPr>
          <w:bCs/>
          <w:sz w:val="28"/>
          <w:szCs w:val="28"/>
          <w:lang w:val="sr-Cyrl-RS"/>
        </w:rPr>
        <w:t>за инвеститоре код којих не постоје техничке могућности за прикључење на топловодни систем јер је за исте предвиђено умањење на име недостајуће комуналне инфраструктуре – недостајуће топловодне мреже, што је приказано у члану 19. табели 3</w:t>
      </w:r>
      <w:r w:rsidR="0067043F" w:rsidRPr="00440058">
        <w:rPr>
          <w:bCs/>
          <w:sz w:val="28"/>
          <w:szCs w:val="28"/>
          <w:lang w:val="sr-Cyrl-RS"/>
        </w:rPr>
        <w:t>.</w:t>
      </w:r>
      <w:r w:rsidR="007F0B89" w:rsidRPr="00440058">
        <w:rPr>
          <w:bCs/>
          <w:sz w:val="28"/>
          <w:szCs w:val="28"/>
          <w:lang w:val="sr-Cyrl-RS"/>
        </w:rPr>
        <w:t xml:space="preserve"> </w:t>
      </w:r>
    </w:p>
    <w:p w:rsidR="00BB3054" w:rsidRPr="00440058" w:rsidRDefault="00BB3054" w:rsidP="00BB3054">
      <w:pPr>
        <w:autoSpaceDE w:val="0"/>
        <w:autoSpaceDN w:val="0"/>
        <w:adjustRightInd w:val="0"/>
        <w:jc w:val="both"/>
        <w:rPr>
          <w:sz w:val="28"/>
          <w:szCs w:val="28"/>
          <w:lang w:val="sr-Cyrl-RS"/>
        </w:rPr>
      </w:pPr>
      <w:r w:rsidRPr="00440058">
        <w:rPr>
          <w:sz w:val="28"/>
          <w:szCs w:val="28"/>
          <w:lang w:val="ru-RU"/>
        </w:rPr>
        <w:tab/>
        <w:t xml:space="preserve"> На наведени нацрт Одлуке прибављено је мишљење</w:t>
      </w:r>
      <w:r w:rsidRPr="00440058">
        <w:rPr>
          <w:sz w:val="28"/>
          <w:szCs w:val="28"/>
          <w:lang w:val="sr-Cyrl-RS" w:eastAsia="ar-SA"/>
        </w:rPr>
        <w:t xml:space="preserve"> </w:t>
      </w:r>
      <w:r w:rsidRPr="00440058">
        <w:rPr>
          <w:sz w:val="28"/>
          <w:szCs w:val="28"/>
          <w:lang w:val="sr-Cyrl-RS"/>
        </w:rPr>
        <w:t xml:space="preserve">Службе за послове Скупштине Града, </w:t>
      </w:r>
      <w:r w:rsidR="0067043F" w:rsidRPr="00440058">
        <w:rPr>
          <w:sz w:val="28"/>
          <w:szCs w:val="28"/>
          <w:lang w:val="sr-Cyrl-RS"/>
        </w:rPr>
        <w:t xml:space="preserve"> </w:t>
      </w:r>
      <w:r w:rsidR="00F42C7E">
        <w:rPr>
          <w:sz w:val="28"/>
          <w:szCs w:val="28"/>
          <w:lang w:val="sr-Cyrl-RS"/>
        </w:rPr>
        <w:t xml:space="preserve">број </w:t>
      </w:r>
      <w:r w:rsidR="00F42C7E" w:rsidRPr="00F42C7E">
        <w:rPr>
          <w:sz w:val="28"/>
          <w:szCs w:val="28"/>
          <w:lang w:val="sr-Cyrl-RS"/>
        </w:rPr>
        <w:t>102/2019-22 од 14.03.2019. године</w:t>
      </w:r>
      <w:r w:rsidR="00DA4B36" w:rsidRPr="00440058">
        <w:rPr>
          <w:sz w:val="28"/>
          <w:szCs w:val="28"/>
          <w:lang w:val="sr-Cyrl-RS"/>
        </w:rPr>
        <w:t xml:space="preserve"> и Секретаријата за финансије, </w:t>
      </w:r>
      <w:r w:rsidR="00102B8F">
        <w:rPr>
          <w:sz w:val="28"/>
          <w:szCs w:val="28"/>
          <w:lang w:val="sr-Cyrl-RS"/>
        </w:rPr>
        <w:t xml:space="preserve">број </w:t>
      </w:r>
      <w:r w:rsidR="00102B8F" w:rsidRPr="00102B8F">
        <w:rPr>
          <w:sz w:val="28"/>
          <w:szCs w:val="28"/>
          <w:lang w:val="sr-Cyrl-RS"/>
        </w:rPr>
        <w:t>11-1052/2019 од 14.03.2019. године</w:t>
      </w:r>
      <w:r w:rsidR="00DA4B36" w:rsidRPr="00440058">
        <w:rPr>
          <w:sz w:val="28"/>
          <w:szCs w:val="28"/>
          <w:lang w:val="sr-Cyrl-RS"/>
        </w:rPr>
        <w:t xml:space="preserve">.                        </w:t>
      </w:r>
    </w:p>
    <w:p w:rsidR="00BB3054" w:rsidRPr="00440058" w:rsidRDefault="00BB3054" w:rsidP="00BB3054">
      <w:pPr>
        <w:ind w:firstLine="708"/>
        <w:jc w:val="both"/>
        <w:rPr>
          <w:sz w:val="28"/>
          <w:szCs w:val="28"/>
          <w:lang w:val="sr-Cyrl-RS"/>
        </w:rPr>
      </w:pPr>
      <w:r w:rsidRPr="00440058">
        <w:rPr>
          <w:sz w:val="28"/>
          <w:szCs w:val="28"/>
        </w:rPr>
        <w:t xml:space="preserve">Имајући у виду наведено, </w:t>
      </w:r>
      <w:r w:rsidRPr="00440058">
        <w:rPr>
          <w:sz w:val="28"/>
          <w:szCs w:val="28"/>
          <w:lang w:val="sr-Cyrl-RS"/>
        </w:rPr>
        <w:t>Секретаријат</w:t>
      </w:r>
      <w:r w:rsidRPr="00440058">
        <w:rPr>
          <w:sz w:val="28"/>
          <w:szCs w:val="28"/>
        </w:rPr>
        <w:t xml:space="preserve"> за </w:t>
      </w:r>
      <w:r w:rsidR="007C0B3D">
        <w:rPr>
          <w:sz w:val="28"/>
          <w:szCs w:val="28"/>
          <w:lang w:val="sr-Cyrl-RS"/>
        </w:rPr>
        <w:t>инвестиције</w:t>
      </w:r>
      <w:r w:rsidRPr="00440058">
        <w:rPr>
          <w:sz w:val="28"/>
          <w:szCs w:val="28"/>
        </w:rPr>
        <w:t xml:space="preserve"> изради</w:t>
      </w:r>
      <w:r w:rsidRPr="00440058">
        <w:rPr>
          <w:sz w:val="28"/>
          <w:szCs w:val="28"/>
          <w:lang w:val="sr-Cyrl-RS"/>
        </w:rPr>
        <w:t>о</w:t>
      </w:r>
      <w:r w:rsidRPr="00440058">
        <w:rPr>
          <w:sz w:val="28"/>
          <w:szCs w:val="28"/>
        </w:rPr>
        <w:t xml:space="preserve"> је нацрт одлуке као у диспозитиву.</w:t>
      </w:r>
    </w:p>
    <w:p w:rsidR="00BB3054" w:rsidRPr="00440058" w:rsidRDefault="00BB3054" w:rsidP="00BB3054">
      <w:pPr>
        <w:ind w:firstLine="708"/>
        <w:jc w:val="both"/>
        <w:rPr>
          <w:sz w:val="28"/>
          <w:szCs w:val="28"/>
          <w:lang w:val="sr-Cyrl-RS"/>
        </w:rPr>
      </w:pPr>
    </w:p>
    <w:p w:rsidR="00BB3054" w:rsidRPr="00440058" w:rsidRDefault="00BB3054" w:rsidP="00BB3054">
      <w:pPr>
        <w:ind w:firstLine="708"/>
        <w:jc w:val="both"/>
        <w:rPr>
          <w:sz w:val="28"/>
          <w:szCs w:val="28"/>
          <w:lang w:val="sr-Cyrl-RS"/>
        </w:rPr>
      </w:pPr>
      <w:r w:rsidRPr="00440058">
        <w:rPr>
          <w:sz w:val="28"/>
          <w:szCs w:val="28"/>
        </w:rPr>
        <w:t xml:space="preserve"> </w:t>
      </w:r>
    </w:p>
    <w:p w:rsidR="00BB3054" w:rsidRPr="00440058" w:rsidRDefault="00BB3054" w:rsidP="00BB3054">
      <w:pPr>
        <w:autoSpaceDE w:val="0"/>
        <w:autoSpaceDN w:val="0"/>
        <w:adjustRightInd w:val="0"/>
        <w:ind w:firstLine="708"/>
        <w:jc w:val="center"/>
        <w:rPr>
          <w:sz w:val="28"/>
          <w:szCs w:val="28"/>
          <w:lang w:val="sr-Cyrl-RS"/>
        </w:rPr>
      </w:pPr>
      <w:r w:rsidRPr="00440058">
        <w:rPr>
          <w:sz w:val="28"/>
          <w:szCs w:val="28"/>
          <w:lang w:val="sr-Cyrl-RS"/>
        </w:rPr>
        <w:t>ГРАДСКА УПРАВА ГРАДА НИША</w:t>
      </w:r>
    </w:p>
    <w:p w:rsidR="00BB3054" w:rsidRPr="00440058" w:rsidRDefault="00BB3054" w:rsidP="0067043F">
      <w:pPr>
        <w:autoSpaceDE w:val="0"/>
        <w:autoSpaceDN w:val="0"/>
        <w:adjustRightInd w:val="0"/>
        <w:ind w:firstLine="708"/>
        <w:jc w:val="center"/>
        <w:rPr>
          <w:sz w:val="28"/>
          <w:szCs w:val="28"/>
          <w:lang w:val="sr-Cyrl-RS"/>
        </w:rPr>
      </w:pPr>
      <w:r w:rsidRPr="00440058">
        <w:rPr>
          <w:sz w:val="28"/>
          <w:szCs w:val="28"/>
          <w:lang w:val="sr-Cyrl-RS"/>
        </w:rPr>
        <w:t>СЕКРЕТАРИЈАТ</w:t>
      </w:r>
      <w:r w:rsidRPr="00440058">
        <w:rPr>
          <w:sz w:val="28"/>
          <w:szCs w:val="28"/>
        </w:rPr>
        <w:t xml:space="preserve"> ЗА </w:t>
      </w:r>
      <w:r w:rsidR="0067043F" w:rsidRPr="00440058">
        <w:rPr>
          <w:sz w:val="28"/>
          <w:szCs w:val="28"/>
          <w:lang w:val="sr-Cyrl-RS"/>
        </w:rPr>
        <w:t>ИНВЕСТИЦИЈЕ</w:t>
      </w:r>
    </w:p>
    <w:p w:rsidR="00BB3054" w:rsidRPr="00440058" w:rsidRDefault="00BB3054" w:rsidP="00BB3054">
      <w:pPr>
        <w:autoSpaceDE w:val="0"/>
        <w:autoSpaceDN w:val="0"/>
        <w:adjustRightInd w:val="0"/>
        <w:rPr>
          <w:sz w:val="28"/>
          <w:szCs w:val="28"/>
          <w:lang w:val="sr-Latn-RS"/>
        </w:rPr>
      </w:pPr>
      <w:r w:rsidRPr="00440058">
        <w:rPr>
          <w:sz w:val="28"/>
          <w:szCs w:val="28"/>
        </w:rPr>
        <w:tab/>
      </w:r>
      <w:r w:rsidRPr="00440058">
        <w:rPr>
          <w:sz w:val="28"/>
          <w:szCs w:val="28"/>
        </w:rPr>
        <w:tab/>
      </w:r>
      <w:r w:rsidRPr="00440058">
        <w:rPr>
          <w:sz w:val="28"/>
          <w:szCs w:val="28"/>
        </w:rPr>
        <w:tab/>
      </w:r>
    </w:p>
    <w:p w:rsidR="00BB3054" w:rsidRPr="00440058" w:rsidRDefault="00BB3054" w:rsidP="00BB3054">
      <w:pPr>
        <w:autoSpaceDE w:val="0"/>
        <w:autoSpaceDN w:val="0"/>
        <w:adjustRightInd w:val="0"/>
        <w:rPr>
          <w:sz w:val="28"/>
          <w:szCs w:val="28"/>
        </w:rPr>
      </w:pPr>
      <w:r w:rsidRPr="00440058">
        <w:rPr>
          <w:sz w:val="28"/>
          <w:szCs w:val="28"/>
        </w:rPr>
        <w:tab/>
      </w:r>
      <w:r w:rsidRPr="00440058">
        <w:rPr>
          <w:sz w:val="28"/>
          <w:szCs w:val="28"/>
        </w:rPr>
        <w:tab/>
      </w:r>
      <w:r w:rsidRPr="00440058">
        <w:rPr>
          <w:sz w:val="28"/>
          <w:szCs w:val="28"/>
        </w:rPr>
        <w:tab/>
        <w:t xml:space="preserve">     </w:t>
      </w:r>
    </w:p>
    <w:p w:rsidR="00BB3054" w:rsidRPr="00440058" w:rsidRDefault="00BB3054" w:rsidP="00BB3054">
      <w:pPr>
        <w:ind w:left="5387"/>
        <w:jc w:val="center"/>
        <w:rPr>
          <w:kern w:val="1"/>
          <w:sz w:val="28"/>
          <w:szCs w:val="28"/>
          <w:lang w:val="sr-Cyrl-RS"/>
        </w:rPr>
      </w:pPr>
      <w:r w:rsidRPr="00440058">
        <w:rPr>
          <w:kern w:val="1"/>
          <w:sz w:val="28"/>
          <w:szCs w:val="28"/>
        </w:rPr>
        <w:t>СЕКРЕТАР</w:t>
      </w:r>
    </w:p>
    <w:p w:rsidR="00BB3054" w:rsidRPr="00440058" w:rsidRDefault="00BB3054" w:rsidP="008B201A">
      <w:pPr>
        <w:rPr>
          <w:kern w:val="1"/>
          <w:sz w:val="28"/>
          <w:szCs w:val="28"/>
          <w:lang w:val="sr-Cyrl-RS"/>
        </w:rPr>
      </w:pPr>
    </w:p>
    <w:p w:rsidR="00BB3054" w:rsidRPr="00440058" w:rsidRDefault="008B201A" w:rsidP="00BB3054">
      <w:pPr>
        <w:ind w:left="5387"/>
        <w:jc w:val="center"/>
        <w:rPr>
          <w:sz w:val="28"/>
          <w:szCs w:val="28"/>
          <w:lang w:val="ru-RU"/>
        </w:rPr>
      </w:pPr>
      <w:r w:rsidRPr="00440058">
        <w:rPr>
          <w:kern w:val="1"/>
          <w:sz w:val="28"/>
          <w:szCs w:val="28"/>
        </w:rPr>
        <w:t>Душан Радивојевић</w:t>
      </w:r>
    </w:p>
    <w:sectPr w:rsidR="00BB3054" w:rsidRPr="00440058" w:rsidSect="001122F2">
      <w:pgSz w:w="12240" w:h="15840"/>
      <w:pgMar w:top="1560" w:right="1417" w:bottom="1702"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AE4"/>
    <w:rsid w:val="00083312"/>
    <w:rsid w:val="00102B8F"/>
    <w:rsid w:val="001122F2"/>
    <w:rsid w:val="001220DF"/>
    <w:rsid w:val="0015347F"/>
    <w:rsid w:val="001D2D1F"/>
    <w:rsid w:val="001E3322"/>
    <w:rsid w:val="001F4319"/>
    <w:rsid w:val="001F63C7"/>
    <w:rsid w:val="002168B9"/>
    <w:rsid w:val="00217E69"/>
    <w:rsid w:val="00276D8D"/>
    <w:rsid w:val="003275E3"/>
    <w:rsid w:val="003A6089"/>
    <w:rsid w:val="003C53AB"/>
    <w:rsid w:val="00440058"/>
    <w:rsid w:val="0049787A"/>
    <w:rsid w:val="004D3E0D"/>
    <w:rsid w:val="00541EA5"/>
    <w:rsid w:val="0055421E"/>
    <w:rsid w:val="00592B1E"/>
    <w:rsid w:val="0061325A"/>
    <w:rsid w:val="0067043F"/>
    <w:rsid w:val="006819BB"/>
    <w:rsid w:val="007C0B3D"/>
    <w:rsid w:val="007F0B89"/>
    <w:rsid w:val="008B201A"/>
    <w:rsid w:val="008B35BA"/>
    <w:rsid w:val="008C29DC"/>
    <w:rsid w:val="008F02FD"/>
    <w:rsid w:val="00963A8F"/>
    <w:rsid w:val="009C089F"/>
    <w:rsid w:val="00AE67F0"/>
    <w:rsid w:val="00B05F18"/>
    <w:rsid w:val="00B456A9"/>
    <w:rsid w:val="00B832F0"/>
    <w:rsid w:val="00BB3054"/>
    <w:rsid w:val="00BE011D"/>
    <w:rsid w:val="00BE2A63"/>
    <w:rsid w:val="00C12330"/>
    <w:rsid w:val="00C47AE4"/>
    <w:rsid w:val="00C65033"/>
    <w:rsid w:val="00C7453D"/>
    <w:rsid w:val="00D35E3D"/>
    <w:rsid w:val="00DA4B36"/>
    <w:rsid w:val="00DE4137"/>
    <w:rsid w:val="00E04F7A"/>
    <w:rsid w:val="00E116A4"/>
    <w:rsid w:val="00E46B2F"/>
    <w:rsid w:val="00E907CB"/>
    <w:rsid w:val="00F42C7E"/>
    <w:rsid w:val="00F625C5"/>
    <w:rsid w:val="00FF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54"/>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3054"/>
    <w:rPr>
      <w:color w:val="000080"/>
      <w:u w:val="single"/>
    </w:rPr>
  </w:style>
  <w:style w:type="paragraph" w:styleId="BalloonText">
    <w:name w:val="Balloon Text"/>
    <w:basedOn w:val="Normal"/>
    <w:link w:val="BalloonTextChar"/>
    <w:uiPriority w:val="99"/>
    <w:semiHidden/>
    <w:unhideWhenUsed/>
    <w:rsid w:val="00B456A9"/>
    <w:rPr>
      <w:rFonts w:ascii="Tahoma" w:hAnsi="Tahoma" w:cs="Tahoma"/>
      <w:sz w:val="16"/>
      <w:szCs w:val="16"/>
    </w:rPr>
  </w:style>
  <w:style w:type="character" w:customStyle="1" w:styleId="BalloonTextChar">
    <w:name w:val="Balloon Text Char"/>
    <w:basedOn w:val="DefaultParagraphFont"/>
    <w:link w:val="BalloonText"/>
    <w:uiPriority w:val="99"/>
    <w:semiHidden/>
    <w:rsid w:val="00B456A9"/>
    <w:rPr>
      <w:rFonts w:ascii="Tahoma" w:eastAsia="Times New Roman" w:hAnsi="Tahoma" w:cs="Tahoma"/>
      <w:sz w:val="16"/>
      <w:szCs w:val="16"/>
      <w:lang w:val="sr-Cyrl-CS" w:eastAsia="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54"/>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3054"/>
    <w:rPr>
      <w:color w:val="000080"/>
      <w:u w:val="single"/>
    </w:rPr>
  </w:style>
  <w:style w:type="paragraph" w:styleId="BalloonText">
    <w:name w:val="Balloon Text"/>
    <w:basedOn w:val="Normal"/>
    <w:link w:val="BalloonTextChar"/>
    <w:uiPriority w:val="99"/>
    <w:semiHidden/>
    <w:unhideWhenUsed/>
    <w:rsid w:val="00B456A9"/>
    <w:rPr>
      <w:rFonts w:ascii="Tahoma" w:hAnsi="Tahoma" w:cs="Tahoma"/>
      <w:sz w:val="16"/>
      <w:szCs w:val="16"/>
    </w:rPr>
  </w:style>
  <w:style w:type="character" w:customStyle="1" w:styleId="BalloonTextChar">
    <w:name w:val="Balloon Text Char"/>
    <w:basedOn w:val="DefaultParagraphFont"/>
    <w:link w:val="BalloonText"/>
    <w:uiPriority w:val="99"/>
    <w:semiHidden/>
    <w:rsid w:val="00B456A9"/>
    <w:rPr>
      <w:rFonts w:ascii="Tahoma" w:eastAsia="Times New Roman" w:hAnsi="Tahoma" w:cs="Tahoma"/>
      <w:sz w:val="16"/>
      <w:szCs w:val="16"/>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FEB20-F42F-4A0F-9F66-A89136D2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jsnezana</dc:creator>
  <cp:lastModifiedBy>Olivera Ilić</cp:lastModifiedBy>
  <cp:revision>8</cp:revision>
  <cp:lastPrinted>2019-03-14T07:33:00Z</cp:lastPrinted>
  <dcterms:created xsi:type="dcterms:W3CDTF">2019-03-14T07:35:00Z</dcterms:created>
  <dcterms:modified xsi:type="dcterms:W3CDTF">2019-03-14T13:32:00Z</dcterms:modified>
</cp:coreProperties>
</file>