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0C" w:rsidRPr="003D4280" w:rsidRDefault="00635A0F" w:rsidP="003D4280">
      <w:pPr>
        <w:pStyle w:val="Standard"/>
        <w:jc w:val="center"/>
        <w:rPr>
          <w:rFonts w:cs="Times New Roman"/>
          <w:b/>
          <w:lang w:val="sr-Cyrl-RS"/>
        </w:rPr>
      </w:pPr>
      <w:r w:rsidRPr="003D4280">
        <w:rPr>
          <w:rFonts w:cs="Times New Roman"/>
          <w:b/>
          <w:lang w:val="sr-Cyrl-RS"/>
        </w:rPr>
        <w:t>О б р а з л о ж е њ е</w:t>
      </w:r>
      <w:r w:rsidR="005A0C50">
        <w:rPr>
          <w:rFonts w:cs="Times New Roman"/>
          <w:b/>
          <w:lang w:val="sr-Cyrl-RS"/>
        </w:rPr>
        <w:t xml:space="preserve"> </w:t>
      </w:r>
      <w:r w:rsidRPr="003D4280">
        <w:rPr>
          <w:rFonts w:cs="Times New Roman"/>
          <w:b/>
          <w:lang w:val="sr-Cyrl-RS"/>
        </w:rPr>
        <w:t>:</w:t>
      </w:r>
    </w:p>
    <w:p w:rsidR="00532A2C" w:rsidRPr="003D4280" w:rsidRDefault="00532A2C" w:rsidP="00532A2C">
      <w:pPr>
        <w:pStyle w:val="Standard"/>
        <w:ind w:firstLine="720"/>
        <w:jc w:val="both"/>
        <w:rPr>
          <w:rFonts w:cs="Times New Roman"/>
          <w:lang w:val="sr-Cyrl-RS"/>
        </w:rPr>
      </w:pPr>
    </w:p>
    <w:p w:rsidR="00141535" w:rsidRPr="003D4280" w:rsidRDefault="00532A2C" w:rsidP="003D42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</w:t>
      </w:r>
      <w:r w:rsidR="00635A0F" w:rsidRPr="003D4280">
        <w:rPr>
          <w:rFonts w:ascii="Times New Roman" w:hAnsi="Times New Roman" w:cs="Times New Roman"/>
          <w:sz w:val="24"/>
          <w:szCs w:val="24"/>
        </w:rPr>
        <w:t>длуком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574D87" w:rsidRPr="003D428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Градској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Г</w:t>
      </w:r>
      <w:r w:rsidR="00635A0F" w:rsidRPr="003D428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(</w:t>
      </w:r>
      <w:r w:rsidR="00487DD5" w:rsidRPr="003D428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487DD5" w:rsidRPr="003D4280">
        <w:rPr>
          <w:rFonts w:ascii="Times New Roman" w:hAnsi="Times New Roman" w:cs="Times New Roman"/>
          <w:sz w:val="24"/>
          <w:szCs w:val="24"/>
        </w:rPr>
        <w:t>“</w:t>
      </w:r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143/2016 и 57/2017)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трансформација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</w:t>
      </w:r>
      <w:r w:rsidR="00635A0F" w:rsidRPr="003D428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5A0F"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A0F" w:rsidRPr="003D4280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градских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>,</w:t>
      </w:r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35" w:rsidRPr="003D4280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35" w:rsidRPr="003D428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35" w:rsidRPr="003D428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35" w:rsidRPr="003D4280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35" w:rsidRPr="003D4280">
        <w:rPr>
          <w:rFonts w:ascii="Times New Roman" w:hAnsi="Times New Roman" w:cs="Times New Roman"/>
          <w:sz w:val="24"/>
          <w:szCs w:val="24"/>
        </w:rPr>
        <w:t>Г</w:t>
      </w:r>
      <w:r w:rsidRPr="003D428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формирана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јединствена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Градска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јединствен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2E80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="00D72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8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72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80">
        <w:rPr>
          <w:rFonts w:ascii="Times New Roman" w:hAnsi="Times New Roman" w:cs="Times New Roman"/>
          <w:sz w:val="24"/>
          <w:szCs w:val="24"/>
        </w:rPr>
        <w:t>организационе</w:t>
      </w:r>
      <w:proofErr w:type="spellEnd"/>
      <w:r w:rsidR="00D72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80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="00D72E80">
        <w:rPr>
          <w:rFonts w:ascii="Times New Roman" w:hAnsi="Times New Roman" w:cs="Times New Roman"/>
          <w:sz w:val="24"/>
          <w:szCs w:val="24"/>
        </w:rPr>
        <w:t xml:space="preserve"> </w:t>
      </w:r>
      <w:r w:rsidR="00D72E80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екретаријати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наведеном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делокруг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>.</w:t>
      </w:r>
    </w:p>
    <w:p w:rsidR="00D85F84" w:rsidRDefault="00532A2C" w:rsidP="003D42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(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197FA6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="00197FA6">
        <w:rPr>
          <w:rFonts w:ascii="Times New Roman" w:hAnsi="Times New Roman" w:cs="Times New Roman"/>
          <w:sz w:val="24"/>
          <w:szCs w:val="24"/>
        </w:rPr>
        <w:t xml:space="preserve">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197FA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D4280">
        <w:rPr>
          <w:rFonts w:ascii="Times New Roman" w:hAnsi="Times New Roman" w:cs="Times New Roman"/>
          <w:sz w:val="24"/>
          <w:szCs w:val="24"/>
        </w:rPr>
        <w:t xml:space="preserve"> бр.18/</w:t>
      </w:r>
      <w:r w:rsidR="009552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3D4280">
        <w:rPr>
          <w:rFonts w:ascii="Times New Roman" w:hAnsi="Times New Roman" w:cs="Times New Roman"/>
          <w:sz w:val="24"/>
          <w:szCs w:val="24"/>
        </w:rPr>
        <w:t>16)</w:t>
      </w:r>
      <w:r w:rsidR="00141535" w:rsidRPr="003D4280">
        <w:rPr>
          <w:rFonts w:ascii="Times New Roman" w:hAnsi="Times New Roman" w:cs="Times New Roman"/>
          <w:sz w:val="24"/>
          <w:szCs w:val="24"/>
        </w:rPr>
        <w:t>,</w:t>
      </w:r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AD00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87" w:rsidRPr="003D4280">
        <w:rPr>
          <w:rFonts w:ascii="Times New Roman" w:hAnsi="Times New Roman" w:cs="Times New Roman"/>
          <w:sz w:val="24"/>
          <w:szCs w:val="24"/>
        </w:rPr>
        <w:t>Г</w:t>
      </w:r>
      <w:r w:rsidRPr="003D428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поступака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везаних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отуђење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размену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197FA6">
        <w:rPr>
          <w:rFonts w:ascii="Times New Roman" w:hAnsi="Times New Roman" w:cs="Times New Roman"/>
          <w:sz w:val="24"/>
          <w:szCs w:val="24"/>
          <w:lang w:val="sr-Cyrl-RS"/>
        </w:rPr>
        <w:t xml:space="preserve"> у јавној својини Града Ниша</w:t>
      </w:r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користио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“ а у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D7" w:rsidRPr="003D4280">
        <w:rPr>
          <w:rFonts w:ascii="Times New Roman" w:hAnsi="Times New Roman" w:cs="Times New Roman"/>
          <w:sz w:val="24"/>
          <w:szCs w:val="24"/>
        </w:rPr>
        <w:t>тада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важећом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организ</w:t>
      </w:r>
      <w:r w:rsidR="00574D87" w:rsidRPr="003D4280">
        <w:rPr>
          <w:rFonts w:ascii="Times New Roman" w:hAnsi="Times New Roman" w:cs="Times New Roman"/>
          <w:sz w:val="24"/>
          <w:szCs w:val="24"/>
        </w:rPr>
        <w:t>ацији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градских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Г</w:t>
      </w:r>
      <w:r w:rsidR="00D55E7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D5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75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>,</w:t>
      </w:r>
      <w:r w:rsidR="00917A50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A50" w:rsidRPr="003D4280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усклади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Градској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Г</w:t>
      </w:r>
      <w:r w:rsidRPr="003D428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C1220E" w:rsidRPr="003D428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1220E" w:rsidRPr="003D4280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="00C1220E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0E" w:rsidRPr="003D428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1220E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0E" w:rsidRPr="003D428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C1220E" w:rsidRPr="003D428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1220E" w:rsidRPr="003D428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1220E" w:rsidRPr="003D4280">
        <w:rPr>
          <w:rFonts w:ascii="Times New Roman" w:hAnsi="Times New Roman" w:cs="Times New Roman"/>
          <w:sz w:val="24"/>
          <w:szCs w:val="24"/>
        </w:rPr>
        <w:t xml:space="preserve"> 143/2016 и 57/2017.)</w:t>
      </w:r>
    </w:p>
    <w:p w:rsidR="00141535" w:rsidRPr="003315BD" w:rsidRDefault="00D85F84" w:rsidP="003D4280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43617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11. Одлуке, прописано је да Комисија за грађевинско земљиште посебно цени целисходност и оправданост доношења решења која доноси Градоначелник на основу ове Одлуке, те је предложеном изменом члана 11. утврђено да поред решења о отуђењу, размени, прибављањи, деоби грађевинског земљишта, Комисија цени и целисходност и оправданост доношења решења којим се предлаже пренос права </w:t>
      </w:r>
      <w:r w:rsidR="003315BD" w:rsidRPr="00043617">
        <w:rPr>
          <w:rFonts w:ascii="Times New Roman" w:hAnsi="Times New Roman" w:cs="Times New Roman"/>
          <w:sz w:val="24"/>
          <w:szCs w:val="24"/>
          <w:lang w:val="sr-Cyrl-RS"/>
        </w:rPr>
        <w:t>јавне својине са другог носиоца, у случајевима када  Република Србија преноси право јавне својине на непокретностима у јавну својину Града Ниша, као и</w:t>
      </w:r>
      <w:r w:rsidR="003315B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315BD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којим се прихвата уступање земљишта </w:t>
      </w:r>
      <w:r w:rsidR="003315BD"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15BD">
        <w:rPr>
          <w:rFonts w:ascii="Times New Roman" w:hAnsi="Times New Roman" w:cs="Times New Roman"/>
          <w:sz w:val="24"/>
          <w:szCs w:val="24"/>
          <w:lang w:val="sr-Cyrl-RS"/>
        </w:rPr>
        <w:t>инвеститора за изградњу инфраструктурних објеката, у поступку који је утврђен чланом 97. Закона о планирању и изградњи</w:t>
      </w:r>
      <w:r w:rsidR="003315BD" w:rsidRPr="00331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5BD"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15BD" w:rsidRPr="00981159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="003315BD" w:rsidRPr="00981159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3315BD"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315BD" w:rsidRPr="00981159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3315BD"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15BD" w:rsidRPr="00981159">
        <w:rPr>
          <w:rFonts w:ascii="Times New Roman" w:eastAsia="Times New Roman" w:hAnsi="Times New Roman" w:cs="Times New Roman"/>
          <w:sz w:val="24"/>
          <w:szCs w:val="24"/>
        </w:rPr>
        <w:t xml:space="preserve">РС", </w:t>
      </w:r>
      <w:proofErr w:type="spellStart"/>
      <w:r w:rsidR="003315BD" w:rsidRPr="00981159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3315BD" w:rsidRPr="009811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315BD" w:rsidRPr="00981159">
        <w:rPr>
          <w:rFonts w:ascii="Times New Roman" w:eastAsia="Times New Roman" w:hAnsi="Times New Roman" w:cs="Times New Roman"/>
          <w:sz w:val="24"/>
          <w:szCs w:val="24"/>
        </w:rPr>
        <w:t>72/09, 81/09, 64/10, 24/11, 121/12, 42/13, 50/13, 98/13, 132/14 и</w:t>
      </w:r>
      <w:r w:rsidR="003315BD"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15BD" w:rsidRPr="00981159">
        <w:rPr>
          <w:rFonts w:ascii="Times New Roman" w:eastAsia="Times New Roman" w:hAnsi="Times New Roman" w:cs="Times New Roman"/>
          <w:sz w:val="24"/>
          <w:szCs w:val="24"/>
        </w:rPr>
        <w:t>145/14)</w:t>
      </w:r>
      <w:r w:rsidR="003315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D85F84" w:rsidRPr="00043617" w:rsidRDefault="00D85F84" w:rsidP="003D42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3617">
        <w:rPr>
          <w:rFonts w:ascii="Times New Roman" w:hAnsi="Times New Roman" w:cs="Times New Roman"/>
          <w:sz w:val="24"/>
          <w:szCs w:val="24"/>
          <w:lang w:val="sr-Cyrl-RS"/>
        </w:rPr>
        <w:t>У циљу ефикаснијег и потпунијег поступања Комисије за грађевинско земљиште, предложеном изменом члана 11. Одлуке утврђено је да Комисија ради у саставу, који поред председника односно заменика, има четири уместо досадашња три члана, који чине запослени у Секретаријатима који су надлежни за послове који су сродни пословима располагања грађевинским земљиштом, као и запослени у ЈП Дирекцији за изградњу Града Ниша, имајући у виду надлежност тог органа.</w:t>
      </w:r>
    </w:p>
    <w:p w:rsidR="00601C15" w:rsidRPr="00601C15" w:rsidRDefault="00601C15" w:rsidP="003D4280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43617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14. став 3 </w:t>
      </w:r>
      <w:proofErr w:type="spellStart"/>
      <w:r w:rsidRPr="00043617">
        <w:rPr>
          <w:rFonts w:ascii="Times New Roman" w:hAnsi="Times New Roman" w:cs="Times New Roman"/>
          <w:sz w:val="24"/>
          <w:szCs w:val="24"/>
        </w:rPr>
        <w:t>в</w:t>
      </w:r>
      <w:r w:rsidRPr="003D4280">
        <w:rPr>
          <w:rFonts w:ascii="Times New Roman" w:hAnsi="Times New Roman" w:cs="Times New Roman"/>
          <w:sz w:val="24"/>
          <w:szCs w:val="24"/>
        </w:rPr>
        <w:t>ажеће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332AD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332AD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DB613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32ADF">
        <w:rPr>
          <w:rFonts w:ascii="Times New Roman" w:hAnsi="Times New Roman" w:cs="Times New Roman"/>
          <w:sz w:val="24"/>
          <w:szCs w:val="24"/>
          <w:lang w:val="sr-Cyrl-RS"/>
        </w:rPr>
        <w:t>радска</w:t>
      </w:r>
      <w:r w:rsidR="00DB613D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Града Ниша </w:t>
      </w:r>
      <w:r w:rsidR="00332ADF">
        <w:rPr>
          <w:rFonts w:ascii="Times New Roman" w:hAnsi="Times New Roman" w:cs="Times New Roman"/>
          <w:sz w:val="24"/>
          <w:szCs w:val="24"/>
          <w:lang w:val="sr-Cyrl-RS"/>
        </w:rPr>
        <w:t>надлежна за послове утврђивања пореза на имовину утврђује тржишну вредност</w:t>
      </w:r>
      <w:r w:rsidR="00DB613D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грађевинског земљишта које се отуђује и прибавља, као и </w:t>
      </w:r>
      <w:r w:rsidR="00332ADF">
        <w:rPr>
          <w:rFonts w:ascii="Times New Roman" w:hAnsi="Times New Roman" w:cs="Times New Roman"/>
          <w:sz w:val="24"/>
          <w:szCs w:val="24"/>
          <w:lang w:val="sr-Cyrl-RS"/>
        </w:rPr>
        <w:t xml:space="preserve">да у оправданим случајевима тржишну вредност може утврдити и Републички орган надлежан за процену тржишне вредности. Предложеном допуном наведеног става члана 14. предвиђа се да Републички орган надлежан за процену тржишне вредности утврђује и тржишну вредност земљишта које инвеститор уступа јединици локалне самоуправе за изградњу инфраструктурних објеката, имајући у виду да се у конкретном случају не ради ради о </w:t>
      </w:r>
      <w:bookmarkStart w:id="0" w:name="_GoBack"/>
      <w:bookmarkEnd w:id="0"/>
      <w:r w:rsidR="00332ADF">
        <w:rPr>
          <w:rFonts w:ascii="Times New Roman" w:hAnsi="Times New Roman" w:cs="Times New Roman"/>
          <w:sz w:val="24"/>
          <w:szCs w:val="24"/>
          <w:lang w:val="sr-Cyrl-RS"/>
        </w:rPr>
        <w:t xml:space="preserve">прибављању земљишта, као и да је утврђена тржишна вредност основ за умањење доприноса у складу са важећом Одлуком о утврђивању доприноса за уређивање грађевинског земљишта. </w:t>
      </w:r>
    </w:p>
    <w:p w:rsidR="00FB516C" w:rsidRDefault="00917A50" w:rsidP="00D55E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D4280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proofErr w:type="gram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Pr="003D42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4280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важеће</w:t>
      </w:r>
      <w:proofErr w:type="spellEnd"/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87" w:rsidRPr="003D4280">
        <w:rPr>
          <w:rFonts w:ascii="Times New Roman" w:hAnsi="Times New Roman" w:cs="Times New Roman"/>
          <w:sz w:val="24"/>
          <w:szCs w:val="24"/>
        </w:rPr>
        <w:t>О</w:t>
      </w:r>
      <w:r w:rsidR="00F81344" w:rsidRPr="003D4280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покренуо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у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 xml:space="preserve">јавној </w:t>
      </w:r>
      <w:proofErr w:type="spellStart"/>
      <w:r w:rsidR="00197FA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197FA6">
        <w:rPr>
          <w:rFonts w:ascii="Times New Roman" w:hAnsi="Times New Roman" w:cs="Times New Roman"/>
          <w:sz w:val="24"/>
          <w:szCs w:val="24"/>
        </w:rPr>
        <w:t xml:space="preserve">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 xml:space="preserve">Ниша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јав</w:t>
      </w:r>
      <w:r w:rsidRPr="003D4280">
        <w:rPr>
          <w:rFonts w:ascii="Times New Roman" w:hAnsi="Times New Roman" w:cs="Times New Roman"/>
          <w:sz w:val="24"/>
          <w:szCs w:val="24"/>
        </w:rPr>
        <w:t>ни</w:t>
      </w:r>
      <w:r w:rsidR="00141535" w:rsidRPr="003D428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>оглашавањем</w:t>
      </w:r>
      <w:r w:rsidR="00141535"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535" w:rsidRPr="003D4280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35" w:rsidRPr="003D428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35" w:rsidRPr="003D4280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="00141535" w:rsidRPr="003D4280">
        <w:rPr>
          <w:rFonts w:ascii="Times New Roman" w:hAnsi="Times New Roman" w:cs="Times New Roman"/>
          <w:sz w:val="24"/>
          <w:szCs w:val="24"/>
        </w:rPr>
        <w:t>,</w:t>
      </w:r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1344" w:rsidRPr="003D428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proofErr w:type="gram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7A0B65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F81344" w:rsidRPr="003D42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>)</w:t>
      </w:r>
      <w:r w:rsidR="00141535" w:rsidRPr="003D4280">
        <w:rPr>
          <w:rFonts w:ascii="Times New Roman" w:hAnsi="Times New Roman" w:cs="Times New Roman"/>
          <w:sz w:val="24"/>
          <w:szCs w:val="24"/>
        </w:rPr>
        <w:t>,</w:t>
      </w:r>
      <w:r w:rsidR="00574D87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подно</w:t>
      </w:r>
      <w:r w:rsidR="00720DF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720D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="00197FA6">
        <w:rPr>
          <w:rFonts w:ascii="Times New Roman" w:hAnsi="Times New Roman" w:cs="Times New Roman"/>
          <w:sz w:val="24"/>
          <w:szCs w:val="24"/>
          <w:lang w:val="sr-Cyrl-RS"/>
        </w:rPr>
        <w:t xml:space="preserve"> за покретање поступка</w:t>
      </w:r>
      <w:r w:rsidR="00A8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>,</w:t>
      </w:r>
      <w:r w:rsidR="00487DD5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>као и да након тога</w:t>
      </w:r>
      <w:r w:rsidR="00197FA6">
        <w:rPr>
          <w:rFonts w:ascii="Times New Roman" w:hAnsi="Times New Roman" w:cs="Times New Roman"/>
          <w:sz w:val="24"/>
          <w:szCs w:val="24"/>
        </w:rPr>
        <w:t xml:space="preserve"> </w:t>
      </w:r>
      <w:r w:rsidR="00487DD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DD5" w:rsidRPr="003D428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487DD5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F81344" w:rsidRPr="003D428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A807D3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C1220E" w:rsidRPr="003D4280">
        <w:rPr>
          <w:rFonts w:ascii="Times New Roman" w:hAnsi="Times New Roman" w:cs="Times New Roman"/>
          <w:sz w:val="24"/>
          <w:szCs w:val="24"/>
        </w:rPr>
        <w:t>радоначелника</w:t>
      </w:r>
      <w:proofErr w:type="spellEnd"/>
      <w:r w:rsidR="00C1220E" w:rsidRPr="003D4280">
        <w:rPr>
          <w:rFonts w:ascii="Times New Roman" w:hAnsi="Times New Roman" w:cs="Times New Roman"/>
          <w:sz w:val="24"/>
          <w:szCs w:val="24"/>
        </w:rPr>
        <w:t xml:space="preserve">,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C1220E"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487DD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1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FA6">
        <w:rPr>
          <w:rFonts w:ascii="Times New Roman" w:hAnsi="Times New Roman" w:cs="Times New Roman"/>
          <w:sz w:val="24"/>
          <w:szCs w:val="24"/>
        </w:rPr>
        <w:t>покре</w:t>
      </w:r>
      <w:proofErr w:type="spellEnd"/>
      <w:r w:rsidR="00197FA6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C1220E" w:rsidRPr="003D4280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C1220E" w:rsidRPr="003D428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C1220E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0E" w:rsidRPr="003D42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1220E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0E" w:rsidRPr="003D4280">
        <w:rPr>
          <w:rFonts w:ascii="Times New Roman" w:hAnsi="Times New Roman" w:cs="Times New Roman"/>
          <w:sz w:val="24"/>
          <w:szCs w:val="24"/>
        </w:rPr>
        <w:t>отуђење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F81344" w:rsidRPr="003D428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81344" w:rsidRPr="003D4280">
        <w:rPr>
          <w:rFonts w:ascii="Times New Roman" w:hAnsi="Times New Roman" w:cs="Times New Roman"/>
          <w:sz w:val="24"/>
          <w:szCs w:val="24"/>
        </w:rPr>
        <w:t>јав</w:t>
      </w:r>
      <w:r w:rsidR="00197FA6">
        <w:rPr>
          <w:rFonts w:ascii="Times New Roman" w:hAnsi="Times New Roman" w:cs="Times New Roman"/>
          <w:sz w:val="24"/>
          <w:szCs w:val="24"/>
        </w:rPr>
        <w:t>ној</w:t>
      </w:r>
      <w:proofErr w:type="spellEnd"/>
      <w:r w:rsidR="001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FA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197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87DD5" w:rsidRPr="003D4280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487DD5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DD5" w:rsidRPr="003D4280">
        <w:rPr>
          <w:rFonts w:ascii="Times New Roman" w:hAnsi="Times New Roman" w:cs="Times New Roman"/>
          <w:sz w:val="24"/>
          <w:szCs w:val="24"/>
        </w:rPr>
        <w:t>оглашавањем</w:t>
      </w:r>
      <w:proofErr w:type="spellEnd"/>
      <w:r w:rsidR="00487DD5" w:rsidRPr="003D42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529" w:rsidRDefault="00F81344" w:rsidP="003D42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3D4280">
        <w:rPr>
          <w:rFonts w:ascii="Times New Roman" w:hAnsi="Times New Roman" w:cs="Times New Roman"/>
          <w:sz w:val="24"/>
          <w:szCs w:val="24"/>
        </w:rPr>
        <w:lastRenderedPageBreak/>
        <w:t>Предложеним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A807D3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A84529">
        <w:rPr>
          <w:rFonts w:ascii="Times New Roman" w:hAnsi="Times New Roman" w:cs="Times New Roman"/>
          <w:sz w:val="24"/>
          <w:szCs w:val="24"/>
          <w:lang w:val="sr-Cyrl-RS"/>
        </w:rPr>
        <w:t xml:space="preserve">радоначелник може покренути поступак </w:t>
      </w:r>
      <w:proofErr w:type="gramStart"/>
      <w:r w:rsidR="00A84529">
        <w:rPr>
          <w:rFonts w:ascii="Times New Roman" w:hAnsi="Times New Roman" w:cs="Times New Roman"/>
          <w:sz w:val="24"/>
          <w:szCs w:val="24"/>
          <w:lang w:val="sr-Cyrl-RS"/>
        </w:rPr>
        <w:t>прибављања  у</w:t>
      </w:r>
      <w:proofErr w:type="gramEnd"/>
      <w:r w:rsidR="00A84529">
        <w:rPr>
          <w:rFonts w:ascii="Times New Roman" w:hAnsi="Times New Roman" w:cs="Times New Roman"/>
          <w:sz w:val="24"/>
          <w:szCs w:val="24"/>
          <w:lang w:val="sr-Cyrl-RS"/>
        </w:rPr>
        <w:t xml:space="preserve"> јавну својину, односно отуђења из јавне својине грађевинског земљишта и по службеној дужности, 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>без услова да је</w:t>
      </w:r>
      <w:r w:rsidR="00A84529">
        <w:rPr>
          <w:rFonts w:ascii="Times New Roman" w:hAnsi="Times New Roman" w:cs="Times New Roman"/>
          <w:sz w:val="24"/>
          <w:szCs w:val="24"/>
          <w:lang w:val="sr-Cyrl-RS"/>
        </w:rPr>
        <w:t xml:space="preserve"> поднет конкретан захтев или инициј</w:t>
      </w:r>
      <w:r w:rsidR="00197FA6">
        <w:rPr>
          <w:rFonts w:ascii="Times New Roman" w:hAnsi="Times New Roman" w:cs="Times New Roman"/>
          <w:sz w:val="24"/>
          <w:szCs w:val="24"/>
          <w:lang w:val="sr-Cyrl-RS"/>
        </w:rPr>
        <w:t>атива физичког или правног лица.</w:t>
      </w:r>
    </w:p>
    <w:p w:rsidR="00197FA6" w:rsidRPr="00A84529" w:rsidRDefault="00197FA6" w:rsidP="003D42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32.</w:t>
      </w:r>
      <w:r w:rsidRPr="00197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3D4280">
        <w:rPr>
          <w:rFonts w:ascii="Times New Roman" w:hAnsi="Times New Roman" w:cs="Times New Roman"/>
          <w:sz w:val="24"/>
          <w:szCs w:val="24"/>
        </w:rPr>
        <w:t>важеће</w:t>
      </w:r>
      <w:proofErr w:type="spellEnd"/>
      <w:proofErr w:type="gram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је у којим случајевима се спроводи отуђење грађевинског земљишта ради исправке граница</w:t>
      </w:r>
      <w:r w:rsidR="002E7C8B">
        <w:rPr>
          <w:rFonts w:ascii="Times New Roman" w:hAnsi="Times New Roman" w:cs="Times New Roman"/>
          <w:sz w:val="24"/>
          <w:szCs w:val="24"/>
          <w:lang w:val="sr-Cyrl-RS"/>
        </w:rPr>
        <w:t xml:space="preserve"> суседних катастарских парцела. Ради усаглашавања одредбе овог члана са чланом 68.важећег Закона о планирању и изградњи, извршена је измена члана 32. Одлуке, те је измењеним чланом утврђено да се исти односи на случајеве када је на суседној парцели уписано право својине или дугорочног закупа, стеченог у складу са ранијим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ранијим законима о планирању и изградњи</w:t>
      </w:r>
      <w:r w:rsidR="002E7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4280" w:rsidRPr="00043617" w:rsidRDefault="00DB09D7" w:rsidP="00043617">
      <w:pPr>
        <w:autoSpaceDE w:val="0"/>
        <w:adjustRightInd w:val="0"/>
        <w:ind w:firstLine="720"/>
        <w:jc w:val="both"/>
        <w:rPr>
          <w:rFonts w:cs="Times New Roman"/>
          <w:lang w:val="sr-Cyrl-RS"/>
        </w:rPr>
      </w:pPr>
      <w:proofErr w:type="spellStart"/>
      <w:proofErr w:type="gramStart"/>
      <w:r w:rsidRPr="003D4280">
        <w:rPr>
          <w:rFonts w:cs="Times New Roman"/>
        </w:rPr>
        <w:t>Одредбом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члана</w:t>
      </w:r>
      <w:proofErr w:type="spellEnd"/>
      <w:r w:rsidRPr="003D4280">
        <w:rPr>
          <w:rFonts w:cs="Times New Roman"/>
        </w:rPr>
        <w:t xml:space="preserve"> 69.</w:t>
      </w:r>
      <w:proofErr w:type="gramEnd"/>
      <w:r w:rsidR="00917A50"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Одлуке</w:t>
      </w:r>
      <w:proofErr w:type="spellEnd"/>
      <w:r w:rsidRPr="003D4280">
        <w:rPr>
          <w:rFonts w:cs="Times New Roman"/>
        </w:rPr>
        <w:t xml:space="preserve"> о </w:t>
      </w:r>
      <w:proofErr w:type="spellStart"/>
      <w:r w:rsidRPr="003D4280">
        <w:rPr>
          <w:rFonts w:cs="Times New Roman"/>
        </w:rPr>
        <w:t>грађевинском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земљишту</w:t>
      </w:r>
      <w:proofErr w:type="spellEnd"/>
      <w:r w:rsidRPr="003D4280">
        <w:rPr>
          <w:rFonts w:cs="Times New Roman"/>
        </w:rPr>
        <w:t xml:space="preserve">, </w:t>
      </w:r>
      <w:proofErr w:type="spellStart"/>
      <w:r w:rsidRPr="003D4280">
        <w:rPr>
          <w:rFonts w:cs="Times New Roman"/>
        </w:rPr>
        <w:t>прописано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је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да</w:t>
      </w:r>
      <w:proofErr w:type="spellEnd"/>
      <w:r w:rsidRPr="003D4280">
        <w:rPr>
          <w:rFonts w:cs="Times New Roman"/>
        </w:rPr>
        <w:t xml:space="preserve">    </w:t>
      </w:r>
      <w:r w:rsidR="00A807D3">
        <w:rPr>
          <w:rFonts w:cs="Times New Roman"/>
          <w:lang w:val="sr-Cyrl-RS"/>
        </w:rPr>
        <w:t>Г</w:t>
      </w:r>
      <w:proofErr w:type="spellStart"/>
      <w:r w:rsidRPr="003D4280">
        <w:rPr>
          <w:rFonts w:cs="Times New Roman"/>
        </w:rPr>
        <w:t>радоначелник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доноси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решење</w:t>
      </w:r>
      <w:proofErr w:type="spellEnd"/>
      <w:r w:rsidR="00D72E80">
        <w:rPr>
          <w:rFonts w:cs="Times New Roman"/>
          <w:lang w:val="sr-Cyrl-RS"/>
        </w:rPr>
        <w:t>,</w:t>
      </w:r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којим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даје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сагласност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за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изградњу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другом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сувласнику</w:t>
      </w:r>
      <w:proofErr w:type="spellEnd"/>
      <w:r w:rsidRPr="003D4280">
        <w:rPr>
          <w:rFonts w:cs="Times New Roman"/>
        </w:rPr>
        <w:t xml:space="preserve">, </w:t>
      </w:r>
      <w:proofErr w:type="spellStart"/>
      <w:r w:rsidRPr="003D4280">
        <w:rPr>
          <w:rFonts w:cs="Times New Roman"/>
        </w:rPr>
        <w:t>сукориснику</w:t>
      </w:r>
      <w:proofErr w:type="spellEnd"/>
      <w:r w:rsidRPr="003D4280">
        <w:rPr>
          <w:rFonts w:cs="Times New Roman"/>
        </w:rPr>
        <w:t xml:space="preserve">, </w:t>
      </w:r>
      <w:proofErr w:type="spellStart"/>
      <w:r w:rsidRPr="003D4280">
        <w:rPr>
          <w:rFonts w:cs="Times New Roman"/>
        </w:rPr>
        <w:t>односно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заједничару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на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грађевинском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земљишту</w:t>
      </w:r>
      <w:proofErr w:type="spellEnd"/>
      <w:r w:rsidRPr="003D4280">
        <w:rPr>
          <w:rFonts w:cs="Times New Roman"/>
        </w:rPr>
        <w:t xml:space="preserve"> у </w:t>
      </w:r>
      <w:proofErr w:type="spellStart"/>
      <w:r w:rsidRPr="003D4280">
        <w:rPr>
          <w:rFonts w:cs="Times New Roman"/>
        </w:rPr>
        <w:t>сусвојини</w:t>
      </w:r>
      <w:proofErr w:type="spellEnd"/>
      <w:r w:rsidRPr="003D4280">
        <w:rPr>
          <w:rFonts w:cs="Times New Roman"/>
        </w:rPr>
        <w:t xml:space="preserve">, </w:t>
      </w:r>
      <w:proofErr w:type="spellStart"/>
      <w:r w:rsidRPr="003D4280">
        <w:rPr>
          <w:rFonts w:cs="Times New Roman"/>
        </w:rPr>
        <w:t>односно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="00141535" w:rsidRPr="003D4280">
        <w:rPr>
          <w:rFonts w:cs="Times New Roman"/>
        </w:rPr>
        <w:t>заједничкој</w:t>
      </w:r>
      <w:proofErr w:type="spellEnd"/>
      <w:r w:rsidR="00141535" w:rsidRPr="003D4280">
        <w:rPr>
          <w:rFonts w:cs="Times New Roman"/>
        </w:rPr>
        <w:t xml:space="preserve"> </w:t>
      </w:r>
      <w:proofErr w:type="spellStart"/>
      <w:r w:rsidR="00141535" w:rsidRPr="003D4280">
        <w:rPr>
          <w:rFonts w:cs="Times New Roman"/>
        </w:rPr>
        <w:t>својини</w:t>
      </w:r>
      <w:proofErr w:type="spellEnd"/>
      <w:r w:rsidR="00141535" w:rsidRPr="003D4280">
        <w:rPr>
          <w:rFonts w:cs="Times New Roman"/>
        </w:rPr>
        <w:t xml:space="preserve"> </w:t>
      </w:r>
      <w:proofErr w:type="spellStart"/>
      <w:r w:rsidR="00141535" w:rsidRPr="003D4280">
        <w:rPr>
          <w:rFonts w:cs="Times New Roman"/>
        </w:rPr>
        <w:t>Г</w:t>
      </w:r>
      <w:r w:rsidRPr="003D4280">
        <w:rPr>
          <w:rFonts w:cs="Times New Roman"/>
        </w:rPr>
        <w:t>рада</w:t>
      </w:r>
      <w:proofErr w:type="spellEnd"/>
      <w:r w:rsidRPr="003D4280">
        <w:rPr>
          <w:rFonts w:cs="Times New Roman"/>
        </w:rPr>
        <w:t xml:space="preserve"> и </w:t>
      </w:r>
      <w:proofErr w:type="spellStart"/>
      <w:r w:rsidRPr="003D4280">
        <w:rPr>
          <w:rFonts w:cs="Times New Roman"/>
        </w:rPr>
        <w:t>другог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лица</w:t>
      </w:r>
      <w:proofErr w:type="spellEnd"/>
      <w:r w:rsidRPr="003D4280">
        <w:rPr>
          <w:rFonts w:cs="Times New Roman"/>
        </w:rPr>
        <w:t xml:space="preserve">, </w:t>
      </w:r>
      <w:proofErr w:type="spellStart"/>
      <w:r w:rsidRPr="003D4280">
        <w:rPr>
          <w:rFonts w:cs="Times New Roman"/>
        </w:rPr>
        <w:t>када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је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таква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сагласност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услов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прибављања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решења</w:t>
      </w:r>
      <w:proofErr w:type="spellEnd"/>
      <w:r w:rsidRPr="003D4280">
        <w:rPr>
          <w:rFonts w:cs="Times New Roman"/>
        </w:rPr>
        <w:t xml:space="preserve"> о </w:t>
      </w:r>
      <w:proofErr w:type="spellStart"/>
      <w:r w:rsidRPr="003D4280">
        <w:rPr>
          <w:rFonts w:cs="Times New Roman"/>
        </w:rPr>
        <w:t>одобрењу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за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извођење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радова</w:t>
      </w:r>
      <w:proofErr w:type="spellEnd"/>
      <w:r w:rsidRPr="003D4280">
        <w:rPr>
          <w:rFonts w:cs="Times New Roman"/>
        </w:rPr>
        <w:t xml:space="preserve">, </w:t>
      </w:r>
      <w:proofErr w:type="spellStart"/>
      <w:r w:rsidRPr="003D4280">
        <w:rPr>
          <w:rFonts w:cs="Times New Roman"/>
        </w:rPr>
        <w:t>издавање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грађевинске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дoзволе</w:t>
      </w:r>
      <w:proofErr w:type="spellEnd"/>
      <w:r w:rsidRPr="003D4280">
        <w:rPr>
          <w:rFonts w:cs="Times New Roman"/>
        </w:rPr>
        <w:t xml:space="preserve"> и у </w:t>
      </w:r>
      <w:proofErr w:type="spellStart"/>
      <w:r w:rsidRPr="003D4280">
        <w:rPr>
          <w:rFonts w:cs="Times New Roman"/>
        </w:rPr>
        <w:t>случају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озакоњења</w:t>
      </w:r>
      <w:proofErr w:type="spellEnd"/>
      <w:r w:rsidRPr="003D4280">
        <w:rPr>
          <w:rFonts w:cs="Times New Roman"/>
        </w:rPr>
        <w:t xml:space="preserve"> </w:t>
      </w:r>
      <w:proofErr w:type="spellStart"/>
      <w:r w:rsidRPr="003D4280">
        <w:rPr>
          <w:rFonts w:cs="Times New Roman"/>
        </w:rPr>
        <w:t>објеката</w:t>
      </w:r>
      <w:proofErr w:type="spellEnd"/>
      <w:r w:rsidRPr="003D4280">
        <w:rPr>
          <w:rFonts w:cs="Times New Roman"/>
        </w:rPr>
        <w:t>.</w:t>
      </w:r>
      <w:r w:rsidR="00043617">
        <w:rPr>
          <w:rFonts w:cs="Times New Roman"/>
          <w:lang w:val="sr-Cyrl-RS"/>
        </w:rPr>
        <w:t xml:space="preserve"> Предложеном изменом члана 69. Одлуке, </w:t>
      </w:r>
      <w:r w:rsidR="00043617" w:rsidRPr="00981159">
        <w:rPr>
          <w:rFonts w:cs="Times New Roman"/>
          <w:lang w:val="sr-Cyrl-RS"/>
        </w:rPr>
        <w:t>Градоначелник доноси решење, којим даје сагласност  у случајевима  у вези грађевинског земљишта, када је таква сагласност услов за остваривање права подносиоца захтева (спровођење парцелације или препарцелације, и</w:t>
      </w:r>
      <w:r w:rsidR="00043617">
        <w:rPr>
          <w:rFonts w:cs="Times New Roman"/>
          <w:lang w:val="sr-Cyrl-RS"/>
        </w:rPr>
        <w:t>зградња објекта на међи и др.).</w:t>
      </w:r>
    </w:p>
    <w:p w:rsidR="00E05BCE" w:rsidRPr="002E7C8B" w:rsidRDefault="00C1220E" w:rsidP="00FB516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2E7C8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2E7C8B">
        <w:rPr>
          <w:rFonts w:ascii="Times New Roman" w:hAnsi="Times New Roman" w:cs="Times New Roman"/>
          <w:sz w:val="24"/>
          <w:szCs w:val="24"/>
        </w:rPr>
        <w:t>змена</w:t>
      </w:r>
      <w:proofErr w:type="spellEnd"/>
      <w:r w:rsidR="002E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C8B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="002E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C8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328C0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8C0" w:rsidRPr="003D4280">
        <w:rPr>
          <w:rFonts w:ascii="Times New Roman" w:hAnsi="Times New Roman" w:cs="Times New Roman"/>
          <w:sz w:val="24"/>
          <w:szCs w:val="24"/>
        </w:rPr>
        <w:t>О</w:t>
      </w:r>
      <w:r w:rsidR="002E7C8B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="002E7C8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328C0"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328C0" w:rsidRPr="003D428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6328C0"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8C0" w:rsidRPr="003D4280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6328C0" w:rsidRPr="003D4280">
        <w:rPr>
          <w:rFonts w:ascii="Times New Roman" w:hAnsi="Times New Roman" w:cs="Times New Roman"/>
          <w:sz w:val="24"/>
          <w:szCs w:val="24"/>
        </w:rPr>
        <w:t>,</w:t>
      </w:r>
      <w:r w:rsidR="007638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C8B">
        <w:rPr>
          <w:rFonts w:ascii="Times New Roman" w:hAnsi="Times New Roman" w:cs="Times New Roman"/>
          <w:sz w:val="24"/>
          <w:szCs w:val="24"/>
          <w:lang w:val="sr-Cyrl-RS"/>
        </w:rPr>
        <w:t xml:space="preserve">извршена је из разлога што </w:t>
      </w:r>
      <w:r w:rsidR="009B391F">
        <w:rPr>
          <w:rFonts w:ascii="Times New Roman" w:hAnsi="Times New Roman" w:cs="Times New Roman"/>
          <w:sz w:val="24"/>
          <w:szCs w:val="24"/>
          <w:lang w:val="sr-Cyrl-RS"/>
        </w:rPr>
        <w:t>су важећим Законом о планирању и изградњи прописани поступци отуђења грађевинског земљишта у јавној својини, којима се омогућава физичким и правним лица да реше имовинско-правне односе односно да прибаве грађевинско земљиште у јавној својини на начин и под условима прописаним наведеним законом, након чега у својству власника земљишта могу несметано приступити извођењу радова, озакоњењу објеката и др., све у циљу стварања услова</w:t>
      </w:r>
      <w:r w:rsidR="00E05BCE">
        <w:rPr>
          <w:rFonts w:ascii="Times New Roman" w:hAnsi="Times New Roman" w:cs="Times New Roman"/>
          <w:sz w:val="24"/>
          <w:szCs w:val="24"/>
          <w:lang w:val="sr-Cyrl-RS"/>
        </w:rPr>
        <w:t xml:space="preserve"> за обезбеђење</w:t>
      </w:r>
      <w:r w:rsidR="00E0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CE">
        <w:rPr>
          <w:rFonts w:ascii="Times New Roman" w:hAnsi="Times New Roman" w:cs="Times New Roman"/>
          <w:sz w:val="24"/>
          <w:szCs w:val="24"/>
        </w:rPr>
        <w:t>правн</w:t>
      </w:r>
      <w:proofErr w:type="spellEnd"/>
      <w:r w:rsidR="00E05B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0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CE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="00E05BCE">
        <w:rPr>
          <w:rFonts w:ascii="Times New Roman" w:hAnsi="Times New Roman" w:cs="Times New Roman"/>
          <w:sz w:val="24"/>
          <w:szCs w:val="24"/>
          <w:lang w:val="sr-Cyrl-RS"/>
        </w:rPr>
        <w:t>и.</w:t>
      </w:r>
    </w:p>
    <w:p w:rsidR="00E05BCE" w:rsidRDefault="00574D87" w:rsidP="00D55E75">
      <w:pPr>
        <w:pStyle w:val="NoSpacing"/>
        <w:ind w:firstLine="720"/>
        <w:jc w:val="both"/>
        <w:rPr>
          <w:rFonts w:eastAsia="Times New Roman" w:cs="Times New Roman"/>
          <w:lang w:val="sr-Cyrl-RS" w:eastAsia="sr-Latn-CS"/>
        </w:rPr>
      </w:pPr>
      <w:proofErr w:type="spellStart"/>
      <w:proofErr w:type="gramStart"/>
      <w:r w:rsidRPr="003D42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="00E05BCE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наведеног</w:t>
      </w:r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предлажемо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усвоји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280">
        <w:rPr>
          <w:rFonts w:ascii="Times New Roman" w:hAnsi="Times New Roman" w:cs="Times New Roman"/>
          <w:sz w:val="24"/>
          <w:szCs w:val="24"/>
        </w:rPr>
        <w:t>предложено</w:t>
      </w:r>
      <w:proofErr w:type="spellEnd"/>
      <w:r w:rsidRPr="003D42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280">
        <w:rPr>
          <w:rFonts w:ascii="Times New Roman" w:hAnsi="Times New Roman" w:cs="Times New Roman"/>
          <w:sz w:val="24"/>
          <w:szCs w:val="24"/>
        </w:rPr>
        <w:t xml:space="preserve"> </w:t>
      </w:r>
      <w:r w:rsidR="003D4280" w:rsidRPr="003D4280">
        <w:rPr>
          <w:rFonts w:eastAsia="Times New Roman" w:cs="Times New Roman"/>
          <w:lang w:val="sr-Cyrl-RS" w:eastAsia="sr-Latn-CS"/>
        </w:rPr>
        <w:t xml:space="preserve">  </w:t>
      </w:r>
    </w:p>
    <w:p w:rsidR="00E05BCE" w:rsidRDefault="00E05BCE" w:rsidP="00D55E75">
      <w:pPr>
        <w:pStyle w:val="NoSpacing"/>
        <w:ind w:firstLine="720"/>
        <w:jc w:val="both"/>
        <w:rPr>
          <w:rFonts w:eastAsia="Times New Roman" w:cs="Times New Roman"/>
          <w:lang w:val="sr-Cyrl-RS" w:eastAsia="sr-Latn-CS"/>
        </w:rPr>
      </w:pPr>
    </w:p>
    <w:p w:rsidR="003D4280" w:rsidRPr="003D4280" w:rsidRDefault="003D4280" w:rsidP="00D55E75">
      <w:pPr>
        <w:pStyle w:val="NoSpacing"/>
        <w:ind w:firstLine="720"/>
        <w:jc w:val="both"/>
        <w:rPr>
          <w:rFonts w:eastAsia="Times New Roman" w:cs="Times New Roman"/>
          <w:lang w:val="sr-Cyrl-RS" w:eastAsia="sr-Latn-CS"/>
        </w:rPr>
      </w:pPr>
      <w:r w:rsidRPr="003D4280">
        <w:rPr>
          <w:rFonts w:eastAsia="Times New Roman" w:cs="Times New Roman"/>
          <w:lang w:val="sr-Cyrl-RS" w:eastAsia="sr-Latn-CS"/>
        </w:rPr>
        <w:t xml:space="preserve">                                                                                          </w:t>
      </w:r>
    </w:p>
    <w:p w:rsidR="003D4280" w:rsidRPr="003D4280" w:rsidRDefault="003D4280" w:rsidP="003D428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lang w:val="sr-Cyrl-RS" w:eastAsia="sr-Latn-CS" w:bidi="ar-SA"/>
        </w:rPr>
      </w:pPr>
      <w:r w:rsidRPr="003D4280">
        <w:rPr>
          <w:rFonts w:eastAsia="Times New Roman" w:cs="Times New Roman"/>
          <w:color w:val="auto"/>
          <w:kern w:val="0"/>
          <w:lang w:val="sr-Cyrl-RS" w:eastAsia="sr-Latn-CS" w:bidi="ar-SA"/>
        </w:rPr>
        <w:t xml:space="preserve">                                                                                                   </w:t>
      </w:r>
    </w:p>
    <w:p w:rsidR="00D55E75" w:rsidRDefault="003D4280" w:rsidP="003D428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CS" w:bidi="ar-SA"/>
        </w:rPr>
      </w:pPr>
      <w:r w:rsidRPr="003D4280">
        <w:rPr>
          <w:rFonts w:eastAsia="Times New Roman" w:cs="Times New Roman"/>
          <w:color w:val="auto"/>
          <w:kern w:val="0"/>
          <w:lang w:val="sr-Cyrl-RS" w:eastAsia="sr-Latn-CS" w:bidi="ar-SA"/>
        </w:rPr>
        <w:t xml:space="preserve">                                                                                                 </w:t>
      </w:r>
    </w:p>
    <w:p w:rsidR="00E05BCE" w:rsidRDefault="00D55E75" w:rsidP="003D4280">
      <w:pPr>
        <w:widowControl/>
        <w:suppressAutoHyphens w:val="0"/>
        <w:autoSpaceDN/>
        <w:jc w:val="both"/>
        <w:textAlignment w:val="auto"/>
        <w:rPr>
          <w:rFonts w:cs="Times New Roman"/>
          <w:b/>
          <w:lang w:val="sr-Cyrl-CS"/>
        </w:rPr>
      </w:pPr>
      <w:r>
        <w:rPr>
          <w:rFonts w:eastAsia="Times New Roman" w:cs="Times New Roman"/>
          <w:color w:val="auto"/>
          <w:kern w:val="0"/>
          <w:lang w:val="sr-Latn-RS" w:eastAsia="sr-Latn-CS" w:bidi="ar-SA"/>
        </w:rPr>
        <w:t xml:space="preserve">                                                                                                   </w:t>
      </w:r>
      <w:r w:rsidR="00F044BD" w:rsidRPr="00E05BCE">
        <w:rPr>
          <w:rFonts w:cs="Times New Roman"/>
          <w:b/>
          <w:lang w:val="sr-Cyrl-CS"/>
        </w:rPr>
        <w:t>С Е К Р Е Т А Р</w:t>
      </w:r>
      <w:r w:rsidR="004E20A9" w:rsidRPr="00E05BCE">
        <w:rPr>
          <w:rFonts w:cs="Times New Roman"/>
          <w:b/>
          <w:lang w:val="sr-Cyrl-CS"/>
        </w:rPr>
        <w:t xml:space="preserve">  </w:t>
      </w:r>
    </w:p>
    <w:p w:rsidR="00B66D59" w:rsidRPr="00E05BCE" w:rsidRDefault="004E20A9" w:rsidP="003D428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auto"/>
          <w:kern w:val="0"/>
          <w:lang w:val="sr-Cyrl-RS" w:eastAsia="sr-Latn-CS" w:bidi="ar-SA"/>
        </w:rPr>
      </w:pPr>
      <w:r w:rsidRPr="00E05BCE">
        <w:rPr>
          <w:rFonts w:cs="Times New Roman"/>
          <w:b/>
          <w:lang w:val="sr-Cyrl-CS"/>
        </w:rPr>
        <w:t xml:space="preserve">                                                                                         </w:t>
      </w:r>
    </w:p>
    <w:p w:rsidR="00AF68FC" w:rsidRPr="00E05BCE" w:rsidRDefault="00AF68FC" w:rsidP="00F044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5B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</w:t>
      </w:r>
    </w:p>
    <w:p w:rsidR="00AF68FC" w:rsidRPr="00E05BCE" w:rsidRDefault="00D55E75" w:rsidP="00AF68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5BC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       </w:t>
      </w:r>
      <w:r w:rsidR="00AF68FC" w:rsidRPr="00E05BCE">
        <w:rPr>
          <w:rFonts w:ascii="Times New Roman" w:hAnsi="Times New Roman" w:cs="Times New Roman"/>
          <w:b/>
          <w:sz w:val="24"/>
          <w:szCs w:val="24"/>
          <w:lang w:val="sr-Cyrl-RS"/>
        </w:rPr>
        <w:t>Анђелија Стаменковић</w:t>
      </w:r>
      <w:r w:rsidR="00AF68FC" w:rsidRPr="00E05BC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 w:rsidR="00AF68FC" w:rsidRPr="00E05B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дипл. правник </w:t>
      </w:r>
    </w:p>
    <w:p w:rsidR="00AF68FC" w:rsidRPr="00E05BCE" w:rsidRDefault="00AF68FC" w:rsidP="00AF68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66D59" w:rsidRPr="003D4280" w:rsidRDefault="00B66D59" w:rsidP="00521FC0">
      <w:pPr>
        <w:pStyle w:val="Standard"/>
        <w:ind w:firstLine="720"/>
        <w:jc w:val="both"/>
        <w:rPr>
          <w:rFonts w:cs="Times New Roman"/>
          <w:lang w:val="sr-Cyrl-CS"/>
        </w:rPr>
      </w:pPr>
    </w:p>
    <w:p w:rsidR="00B66D59" w:rsidRPr="003D4280" w:rsidRDefault="00B66D59" w:rsidP="00521FC0">
      <w:pPr>
        <w:pStyle w:val="Standard"/>
        <w:ind w:firstLine="720"/>
        <w:jc w:val="both"/>
        <w:rPr>
          <w:rFonts w:cs="Times New Roman"/>
          <w:lang w:val="sr-Cyrl-CS"/>
        </w:rPr>
      </w:pPr>
    </w:p>
    <w:p w:rsidR="00521FC0" w:rsidRPr="003D4280" w:rsidRDefault="00B66D59" w:rsidP="00AF68FC">
      <w:pPr>
        <w:pStyle w:val="Standard"/>
        <w:ind w:firstLine="720"/>
        <w:jc w:val="both"/>
        <w:rPr>
          <w:rFonts w:cs="Times New Roman"/>
          <w:lang w:val="sr-Cyrl-CS"/>
        </w:rPr>
      </w:pPr>
      <w:r w:rsidRPr="003D4280">
        <w:rPr>
          <w:rFonts w:cs="Times New Roman"/>
          <w:lang w:val="sr-Cyrl-CS"/>
        </w:rPr>
        <w:t xml:space="preserve">                                                                                           </w:t>
      </w:r>
    </w:p>
    <w:p w:rsidR="00AF68FC" w:rsidRPr="003D4280" w:rsidRDefault="00AF68FC" w:rsidP="00AF68FC">
      <w:pPr>
        <w:pStyle w:val="Standard"/>
        <w:ind w:firstLine="720"/>
        <w:jc w:val="both"/>
        <w:rPr>
          <w:rFonts w:cs="Times New Roman"/>
          <w:lang w:val="sr-Cyrl-CS"/>
        </w:rPr>
      </w:pPr>
    </w:p>
    <w:p w:rsidR="0069754F" w:rsidRPr="003D4280" w:rsidRDefault="0069754F" w:rsidP="0069754F">
      <w:pPr>
        <w:pStyle w:val="Standard"/>
        <w:ind w:firstLine="720"/>
        <w:jc w:val="both"/>
        <w:rPr>
          <w:rFonts w:cs="Times New Roman"/>
          <w:lang w:val="sr-Latn-CS"/>
        </w:rPr>
      </w:pPr>
    </w:p>
    <w:p w:rsidR="00D73A04" w:rsidRPr="00C85554" w:rsidRDefault="0069754F" w:rsidP="0069754F">
      <w:pPr>
        <w:pStyle w:val="Standard"/>
        <w:ind w:firstLine="720"/>
        <w:jc w:val="both"/>
        <w:rPr>
          <w:rFonts w:cs="Times New Roman"/>
          <w:sz w:val="22"/>
          <w:szCs w:val="22"/>
          <w:lang w:val="sr-Cyrl-CS"/>
        </w:rPr>
      </w:pPr>
      <w:r w:rsidRPr="00C85554">
        <w:rPr>
          <w:rFonts w:cs="Times New Roman"/>
          <w:sz w:val="22"/>
          <w:szCs w:val="22"/>
          <w:lang w:val="sr-Cyrl-CS"/>
        </w:rPr>
        <w:t xml:space="preserve"> </w:t>
      </w:r>
    </w:p>
    <w:p w:rsidR="009B3E86" w:rsidRPr="00C85554" w:rsidRDefault="009B3E86" w:rsidP="000F5D26">
      <w:pPr>
        <w:pStyle w:val="Standard"/>
        <w:jc w:val="both"/>
        <w:rPr>
          <w:rFonts w:cs="Times New Roman"/>
          <w:sz w:val="22"/>
          <w:szCs w:val="22"/>
          <w:lang w:val="sr-Cyrl-CS"/>
        </w:rPr>
      </w:pPr>
    </w:p>
    <w:p w:rsidR="009870C1" w:rsidRDefault="004F6B2D" w:rsidP="00521FC0">
      <w:pPr>
        <w:pStyle w:val="Standard"/>
        <w:jc w:val="both"/>
        <w:rPr>
          <w:b/>
          <w:sz w:val="22"/>
          <w:szCs w:val="22"/>
          <w:lang w:val="sr-Cyrl-CS"/>
        </w:rPr>
      </w:pPr>
      <w:r w:rsidRPr="00C85554">
        <w:rPr>
          <w:b/>
          <w:sz w:val="22"/>
          <w:szCs w:val="22"/>
          <w:lang w:val="sr-Cyrl-CS"/>
        </w:rPr>
        <w:t xml:space="preserve">                                                                 </w:t>
      </w:r>
      <w:r w:rsidR="00521FC0">
        <w:rPr>
          <w:b/>
          <w:sz w:val="22"/>
          <w:szCs w:val="22"/>
          <w:lang w:val="sr-Cyrl-CS"/>
        </w:rPr>
        <w:t xml:space="preserve">                                </w:t>
      </w:r>
      <w:r w:rsidR="00F86529" w:rsidRPr="00C85554">
        <w:rPr>
          <w:b/>
          <w:sz w:val="22"/>
          <w:szCs w:val="22"/>
          <w:lang w:val="sr-Cyrl-CS"/>
        </w:rPr>
        <w:t xml:space="preserve"> </w:t>
      </w:r>
    </w:p>
    <w:p w:rsidR="00521FC0" w:rsidRPr="00C85554" w:rsidRDefault="00521FC0" w:rsidP="00521FC0">
      <w:pPr>
        <w:pStyle w:val="Standard"/>
        <w:jc w:val="both"/>
        <w:rPr>
          <w:b/>
          <w:sz w:val="22"/>
          <w:szCs w:val="22"/>
          <w:lang w:val="sr-Cyrl-CS"/>
        </w:rPr>
      </w:pPr>
    </w:p>
    <w:sectPr w:rsidR="00521FC0" w:rsidRPr="00C855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6"/>
    <w:rsid w:val="000264C9"/>
    <w:rsid w:val="000264DD"/>
    <w:rsid w:val="00043617"/>
    <w:rsid w:val="000624A0"/>
    <w:rsid w:val="00067125"/>
    <w:rsid w:val="000C2D71"/>
    <w:rsid w:val="000C42A3"/>
    <w:rsid w:val="000C6369"/>
    <w:rsid w:val="000E218D"/>
    <w:rsid w:val="000F5D26"/>
    <w:rsid w:val="001219E5"/>
    <w:rsid w:val="00141535"/>
    <w:rsid w:val="00156554"/>
    <w:rsid w:val="00181E4F"/>
    <w:rsid w:val="001871AD"/>
    <w:rsid w:val="00194002"/>
    <w:rsid w:val="00197FA6"/>
    <w:rsid w:val="001A75E7"/>
    <w:rsid w:val="001E35C3"/>
    <w:rsid w:val="001E554E"/>
    <w:rsid w:val="001F466C"/>
    <w:rsid w:val="001F5A07"/>
    <w:rsid w:val="00201DA5"/>
    <w:rsid w:val="00203CD6"/>
    <w:rsid w:val="002115A6"/>
    <w:rsid w:val="00214D18"/>
    <w:rsid w:val="00235FC4"/>
    <w:rsid w:val="00274A9B"/>
    <w:rsid w:val="00280F6C"/>
    <w:rsid w:val="002820E3"/>
    <w:rsid w:val="00282E2E"/>
    <w:rsid w:val="002C06E4"/>
    <w:rsid w:val="002C3009"/>
    <w:rsid w:val="002E7C8B"/>
    <w:rsid w:val="002F2334"/>
    <w:rsid w:val="002F3329"/>
    <w:rsid w:val="003315BD"/>
    <w:rsid w:val="00332ADF"/>
    <w:rsid w:val="003377BC"/>
    <w:rsid w:val="0038486E"/>
    <w:rsid w:val="003A470C"/>
    <w:rsid w:val="003B2407"/>
    <w:rsid w:val="003B66C2"/>
    <w:rsid w:val="003B6F9A"/>
    <w:rsid w:val="003C44C1"/>
    <w:rsid w:val="003D1A29"/>
    <w:rsid w:val="003D4280"/>
    <w:rsid w:val="00402B7C"/>
    <w:rsid w:val="00420015"/>
    <w:rsid w:val="0046073E"/>
    <w:rsid w:val="004720E2"/>
    <w:rsid w:val="00486464"/>
    <w:rsid w:val="00487DD5"/>
    <w:rsid w:val="004B772E"/>
    <w:rsid w:val="004D4F79"/>
    <w:rsid w:val="004E20A9"/>
    <w:rsid w:val="004F6B2D"/>
    <w:rsid w:val="00521FC0"/>
    <w:rsid w:val="00532A2C"/>
    <w:rsid w:val="00574D87"/>
    <w:rsid w:val="00590C7D"/>
    <w:rsid w:val="005A0C50"/>
    <w:rsid w:val="005B76AD"/>
    <w:rsid w:val="005F59D6"/>
    <w:rsid w:val="005F7B3D"/>
    <w:rsid w:val="00601C15"/>
    <w:rsid w:val="00607BD5"/>
    <w:rsid w:val="006115C0"/>
    <w:rsid w:val="006115FC"/>
    <w:rsid w:val="006328C0"/>
    <w:rsid w:val="00635A0F"/>
    <w:rsid w:val="0065674B"/>
    <w:rsid w:val="006618C6"/>
    <w:rsid w:val="00671DFB"/>
    <w:rsid w:val="00673EB2"/>
    <w:rsid w:val="00676A11"/>
    <w:rsid w:val="0068579F"/>
    <w:rsid w:val="00685A53"/>
    <w:rsid w:val="00692389"/>
    <w:rsid w:val="0069754F"/>
    <w:rsid w:val="006A3E03"/>
    <w:rsid w:val="006A4991"/>
    <w:rsid w:val="006D75B6"/>
    <w:rsid w:val="006E2227"/>
    <w:rsid w:val="00707B2B"/>
    <w:rsid w:val="007154F1"/>
    <w:rsid w:val="007162D6"/>
    <w:rsid w:val="00720DF8"/>
    <w:rsid w:val="00724845"/>
    <w:rsid w:val="00727E08"/>
    <w:rsid w:val="0073213B"/>
    <w:rsid w:val="0074247A"/>
    <w:rsid w:val="00751B9A"/>
    <w:rsid w:val="00763888"/>
    <w:rsid w:val="00764D6F"/>
    <w:rsid w:val="007865B8"/>
    <w:rsid w:val="007A0B65"/>
    <w:rsid w:val="00820415"/>
    <w:rsid w:val="00823F94"/>
    <w:rsid w:val="00840B41"/>
    <w:rsid w:val="00861DFB"/>
    <w:rsid w:val="008A4F45"/>
    <w:rsid w:val="008B5046"/>
    <w:rsid w:val="008C038E"/>
    <w:rsid w:val="00917A50"/>
    <w:rsid w:val="00917EF0"/>
    <w:rsid w:val="00937E28"/>
    <w:rsid w:val="009552B8"/>
    <w:rsid w:val="009A319B"/>
    <w:rsid w:val="009A6421"/>
    <w:rsid w:val="009B391F"/>
    <w:rsid w:val="009B3E86"/>
    <w:rsid w:val="009B58A5"/>
    <w:rsid w:val="009C0433"/>
    <w:rsid w:val="009E7129"/>
    <w:rsid w:val="00A53E4A"/>
    <w:rsid w:val="00A7491E"/>
    <w:rsid w:val="00A807D3"/>
    <w:rsid w:val="00A8320F"/>
    <w:rsid w:val="00A84529"/>
    <w:rsid w:val="00A968AA"/>
    <w:rsid w:val="00AB18A7"/>
    <w:rsid w:val="00AD0087"/>
    <w:rsid w:val="00AE1BDB"/>
    <w:rsid w:val="00AF663F"/>
    <w:rsid w:val="00AF68FC"/>
    <w:rsid w:val="00B4547B"/>
    <w:rsid w:val="00B537BD"/>
    <w:rsid w:val="00B631C9"/>
    <w:rsid w:val="00B645B1"/>
    <w:rsid w:val="00B66D59"/>
    <w:rsid w:val="00B92CB9"/>
    <w:rsid w:val="00BB47DF"/>
    <w:rsid w:val="00BC2BFC"/>
    <w:rsid w:val="00BC4A67"/>
    <w:rsid w:val="00BC7221"/>
    <w:rsid w:val="00BD7E44"/>
    <w:rsid w:val="00C02872"/>
    <w:rsid w:val="00C1220E"/>
    <w:rsid w:val="00C37411"/>
    <w:rsid w:val="00C85554"/>
    <w:rsid w:val="00C95FCD"/>
    <w:rsid w:val="00C9743A"/>
    <w:rsid w:val="00CC2EFD"/>
    <w:rsid w:val="00CF1BB8"/>
    <w:rsid w:val="00D12641"/>
    <w:rsid w:val="00D413AC"/>
    <w:rsid w:val="00D46078"/>
    <w:rsid w:val="00D55E75"/>
    <w:rsid w:val="00D72E80"/>
    <w:rsid w:val="00D73A04"/>
    <w:rsid w:val="00D75AE6"/>
    <w:rsid w:val="00D76461"/>
    <w:rsid w:val="00D82DEE"/>
    <w:rsid w:val="00D85F84"/>
    <w:rsid w:val="00DB09D7"/>
    <w:rsid w:val="00DB613D"/>
    <w:rsid w:val="00DD114F"/>
    <w:rsid w:val="00E05BCE"/>
    <w:rsid w:val="00E15E17"/>
    <w:rsid w:val="00E27E59"/>
    <w:rsid w:val="00E527C7"/>
    <w:rsid w:val="00E84639"/>
    <w:rsid w:val="00E92F29"/>
    <w:rsid w:val="00EC0DC2"/>
    <w:rsid w:val="00EC422D"/>
    <w:rsid w:val="00EC67A2"/>
    <w:rsid w:val="00EC7748"/>
    <w:rsid w:val="00F044BD"/>
    <w:rsid w:val="00F22B77"/>
    <w:rsid w:val="00F23464"/>
    <w:rsid w:val="00F53412"/>
    <w:rsid w:val="00F66033"/>
    <w:rsid w:val="00F807E2"/>
    <w:rsid w:val="00F81344"/>
    <w:rsid w:val="00F86529"/>
    <w:rsid w:val="00F914B6"/>
    <w:rsid w:val="00F91A2A"/>
    <w:rsid w:val="00F95534"/>
    <w:rsid w:val="00F958F5"/>
    <w:rsid w:val="00FA1C38"/>
    <w:rsid w:val="00FA5582"/>
    <w:rsid w:val="00FA6864"/>
    <w:rsid w:val="00F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5D2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NoSpacing">
    <w:name w:val="No Spacing"/>
    <w:uiPriority w:val="1"/>
    <w:qFormat/>
    <w:rsid w:val="00AF68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A5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50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5D2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NoSpacing">
    <w:name w:val="No Spacing"/>
    <w:uiPriority w:val="1"/>
    <w:qFormat/>
    <w:rsid w:val="00AF68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A5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50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0E5A-5F6C-41F5-933A-EC987C3E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Rajković</dc:creator>
  <cp:lastModifiedBy>Marlena Čuljković</cp:lastModifiedBy>
  <cp:revision>4</cp:revision>
  <cp:lastPrinted>2017-12-19T09:28:00Z</cp:lastPrinted>
  <dcterms:created xsi:type="dcterms:W3CDTF">2018-09-24T10:08:00Z</dcterms:created>
  <dcterms:modified xsi:type="dcterms:W3CDTF">2018-09-24T11:20:00Z</dcterms:modified>
</cp:coreProperties>
</file>