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EA" w:rsidRPr="00C544EA" w:rsidRDefault="00C544EA" w:rsidP="00C544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544EA">
        <w:rPr>
          <w:rFonts w:ascii="Times New Roman" w:hAnsi="Times New Roman"/>
          <w:b/>
          <w:sz w:val="24"/>
          <w:szCs w:val="24"/>
          <w:lang w:val="sr-Cyrl-RS"/>
        </w:rPr>
        <w:t>УВОДНЕ НАПОМЕНЕ</w:t>
      </w:r>
    </w:p>
    <w:p w:rsidR="00C544EA" w:rsidRPr="00C544EA" w:rsidRDefault="00C544EA" w:rsidP="00C5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44EA" w:rsidRPr="00C544EA" w:rsidRDefault="00C544EA" w:rsidP="007E18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44EA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Иницијатива за израду Елабората о оправданости отуђења грађевинског земљишта у јавној својини, на територији Града Ниша, </w:t>
      </w:r>
      <w:r w:rsidRPr="00C544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испод тржишне цене, односно закупнине или без накнаде јавним надметањем, </w:t>
      </w:r>
      <w:r w:rsidR="007E186A" w:rsidRPr="007E186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или прикупљањем понуда</w:t>
      </w:r>
      <w:r w:rsidR="00017F6D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јавним огласом</w:t>
      </w:r>
      <w:r w:rsidRPr="00C544EA">
        <w:rPr>
          <w:rFonts w:ascii="Times New Roman" w:hAnsi="Times New Roman" w:cs="Times New Roman"/>
          <w:sz w:val="24"/>
          <w:szCs w:val="24"/>
          <w:lang w:val="sr-Cyrl-RS"/>
        </w:rPr>
        <w:t xml:space="preserve"> површине </w:t>
      </w:r>
      <w:r w:rsidRPr="00C544EA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C544EA">
        <w:rPr>
          <w:rFonts w:ascii="Times New Roman" w:hAnsi="Times New Roman" w:cs="Times New Roman"/>
          <w:sz w:val="24"/>
          <w:szCs w:val="24"/>
          <w:lang w:val="sr-Cyrl-RS"/>
        </w:rPr>
        <w:t>4.235 м2  на локацији ''Лозни калем'' у Нишу, на територији ГО Нишка Бања је покренута на основу Писма о намерама о реализацији пројекта Аква парка на Лозном калему, ГО Нишка Бања бр. 03/17-01 од 14.03. 2017. од  привредног друштва ''</w:t>
      </w:r>
      <w:r w:rsidRPr="00C544EA">
        <w:rPr>
          <w:rFonts w:ascii="Times New Roman" w:hAnsi="Times New Roman" w:cs="Times New Roman"/>
          <w:b/>
          <w:sz w:val="24"/>
          <w:szCs w:val="24"/>
          <w:lang w:val="sr-Cyrl-CS"/>
        </w:rPr>
        <w:t>AQUATERRA SOLUTIONS DOO</w:t>
      </w:r>
      <w:r w:rsidRPr="00C544EA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Београд'', које заступа </w:t>
      </w:r>
      <w:r w:rsidRPr="00C544E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Сахрет Хадјарпашић, </w:t>
      </w:r>
      <w:r w:rsidRPr="00C544EA">
        <w:rPr>
          <w:rFonts w:ascii="Times New Roman" w:hAnsi="Times New Roman" w:cs="Times New Roman"/>
          <w:sz w:val="24"/>
          <w:szCs w:val="24"/>
          <w:lang w:val="sr-Cyrl-RS"/>
        </w:rPr>
        <w:t xml:space="preserve">Заступник.  </w:t>
      </w:r>
    </w:p>
    <w:p w:rsidR="00C544EA" w:rsidRPr="00C544EA" w:rsidRDefault="00C544EA" w:rsidP="00C544EA">
      <w:pPr>
        <w:pStyle w:val="NormalWeb"/>
        <w:spacing w:before="0" w:beforeAutospacing="0" w:after="0" w:afterAutospacing="0"/>
        <w:ind w:firstLine="482"/>
        <w:jc w:val="both"/>
        <w:rPr>
          <w:color w:val="000000"/>
          <w:lang w:val="sr-Cyrl-RS"/>
        </w:rPr>
      </w:pPr>
      <w:r w:rsidRPr="00C544EA">
        <w:rPr>
          <w:lang w:val="sr-Cyrl-RS"/>
        </w:rPr>
        <w:t>Писмо о намерама изградње Аква парка на локацији ''Лозни калем'', на територији ГО Нишка Бања бр. 03/17-01 од 14.03.2017. године,</w:t>
      </w:r>
      <w:r w:rsidRPr="00C544EA">
        <w:rPr>
          <w:color w:val="000000"/>
          <w:lang w:val="sr-Cyrl-RS"/>
        </w:rPr>
        <w:t xml:space="preserve"> је документ у коме је заинтересовани субјект, ПД ''</w:t>
      </w:r>
      <w:r w:rsidRPr="00C544EA">
        <w:rPr>
          <w:b/>
          <w:lang w:val="sr-Cyrl-CS"/>
        </w:rPr>
        <w:t>AQUATERRA SOLUTIONS DOO</w:t>
      </w:r>
      <w:r w:rsidRPr="00C544EA">
        <w:rPr>
          <w:lang w:val="sr-Cyrl-RS"/>
        </w:rPr>
        <w:t xml:space="preserve"> Београд''</w:t>
      </w:r>
      <w:r w:rsidRPr="00C544EA">
        <w:rPr>
          <w:color w:val="000000"/>
          <w:lang w:val="sr-Cyrl-RS"/>
        </w:rPr>
        <w:t xml:space="preserve"> изразило намеру да изгради аква парк на наведној локацији, који би имао отворени и затворени део са пратећим садржајима. Како се наводи у писму о намерама, обе фазе би биле реализоване у року од три године од дана стицања услова за почетак реализације ове инвестиције – потписивања и овере Уговора о отуђењу земљишта. Укупна инвестициона вредност изградње обе фазе аква парка би била мања од 9.000.000,00 (девет милиона еура).</w:t>
      </w:r>
    </w:p>
    <w:p w:rsidR="00C544EA" w:rsidRPr="00C544EA" w:rsidRDefault="00C544EA" w:rsidP="00C544EA">
      <w:pPr>
        <w:pStyle w:val="NormalWeb"/>
        <w:spacing w:before="0" w:beforeAutospacing="0" w:after="0" w:afterAutospacing="0"/>
        <w:ind w:firstLine="482"/>
        <w:jc w:val="both"/>
        <w:rPr>
          <w:color w:val="000000"/>
          <w:lang w:val="sr-Cyrl-RS"/>
        </w:rPr>
      </w:pPr>
      <w:r w:rsidRPr="00C544EA">
        <w:rPr>
          <w:color w:val="000000"/>
          <w:lang w:val="sr-Cyrl-RS"/>
        </w:rPr>
        <w:t>Такође, заинтересовани субјект је изразио спреманост да се обавеже да ће отворити најмање 40 радних места на неодређено време, у периоду од три године од дана стварања предуслова за почетак реализације ове инвестиције, те да тај број запослених одржи у периоду од пет година од дана постизања пуне запослености и реализације инвестиције, а током летње сезоне предвиђени број запослених на одређено време биће минимално 80 запослених, што ће током летње сезоне чинити укупно 120 радника запослених на неодређено и одређено време.</w:t>
      </w:r>
    </w:p>
    <w:p w:rsidR="00C544EA" w:rsidRPr="00C544EA" w:rsidRDefault="00C544EA" w:rsidP="00C544EA">
      <w:pPr>
        <w:pStyle w:val="NormalWeb"/>
        <w:spacing w:before="0" w:beforeAutospacing="0" w:after="0" w:afterAutospacing="0"/>
        <w:ind w:firstLine="482"/>
        <w:jc w:val="both"/>
        <w:rPr>
          <w:color w:val="000000"/>
          <w:lang w:val="sr-Cyrl-RS"/>
        </w:rPr>
      </w:pPr>
      <w:r w:rsidRPr="00C544EA">
        <w:rPr>
          <w:color w:val="000000"/>
          <w:lang w:val="sr-Cyrl-RS"/>
        </w:rPr>
        <w:t>Заинтересовани субјект је спреман да да гаранцију у висини тржишне вредности земљишта на период реализације пројекта, а заинтересован је такође да стекне право својине на парцелама које су у валсништву Града Ниша, а које су намењене за изградњу аква парка на локацији ''Лозни калем'', ГО Нишка Бања.</w:t>
      </w:r>
    </w:p>
    <w:p w:rsidR="00C544EA" w:rsidRPr="00C544EA" w:rsidRDefault="00C544EA" w:rsidP="00C544EA">
      <w:pPr>
        <w:pStyle w:val="NormalWeb"/>
        <w:spacing w:before="0" w:beforeAutospacing="0" w:after="0" w:afterAutospacing="0"/>
        <w:ind w:firstLine="482"/>
        <w:jc w:val="both"/>
        <w:rPr>
          <w:color w:val="000000"/>
          <w:lang w:val="sr-Cyrl-RS"/>
        </w:rPr>
      </w:pPr>
      <w:r w:rsidRPr="00C544EA">
        <w:rPr>
          <w:color w:val="000000"/>
          <w:lang w:val="sr-Cyrl-RS"/>
        </w:rPr>
        <w:t>На основу наведених чињеница и применом наведених прописа, Градско Веће Града Ниша је одлучило да је у најбољем интересу Града обезбедити транспарентност поступка отуђења грађевинског земљишта на локацији ''Лозни калем'', као и лојалну конкуренцију Заинтересованом субјекту.</w:t>
      </w:r>
      <w:r w:rsidRPr="00C544EA">
        <w:rPr>
          <w:b/>
          <w:color w:val="000000"/>
          <w:lang w:val="sr-Cyrl-RS"/>
        </w:rPr>
        <w:t xml:space="preserve"> </w:t>
      </w:r>
      <w:r w:rsidRPr="00C544EA">
        <w:rPr>
          <w:color w:val="000000"/>
          <w:lang w:val="sr-Cyrl-RS"/>
        </w:rPr>
        <w:t>У том циљу је одлучено да се спроведе поступак отуђења прикупљањем понуда јавним огласом или јавним надметањем, на начин и под условима предвиђеним Уредбом, имајући притом у виду понуду и намере Заинтересованог субјекта</w:t>
      </w:r>
      <w:r w:rsidRPr="00C544EA">
        <w:rPr>
          <w:b/>
          <w:color w:val="000000"/>
          <w:lang w:val="sr-Cyrl-RS"/>
        </w:rPr>
        <w:t xml:space="preserve">, </w:t>
      </w:r>
      <w:r w:rsidRPr="00C544EA">
        <w:rPr>
          <w:color w:val="000000"/>
          <w:lang w:val="sr-Cyrl-RS"/>
        </w:rPr>
        <w:t>изражене у горе наведеном Писму о намерама.</w:t>
      </w:r>
    </w:p>
    <w:p w:rsidR="00C544EA" w:rsidRPr="00C544EA" w:rsidRDefault="00C544EA" w:rsidP="00C544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складу са чл. 11 ст. 1 тачка 4 Уредбе потребно је одредити сврху пројекта и субјеката којим огу да учествују у поступку јавног надметања, па је приликом расписивања јавног огласа потребно имати у виду понуду Заинтересованог субјекта садржана у у Писму о намерама, односно идејном пројекту који је његов саставни део и то: укупна бруто развијена грађевинска површина надземно </w:t>
      </w:r>
      <w:r w:rsidRPr="00C544EA">
        <w:rPr>
          <w:rFonts w:ascii="Times New Roman" w:hAnsi="Times New Roman" w:cs="Times New Roman"/>
          <w:color w:val="000000"/>
          <w:sz w:val="24"/>
          <w:szCs w:val="24"/>
        </w:rPr>
        <w:t>= 8.696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C544EA">
        <w:rPr>
          <w:rFonts w:ascii="Times New Roman" w:hAnsi="Times New Roman" w:cs="Times New Roman"/>
          <w:color w:val="000000"/>
          <w:sz w:val="24"/>
          <w:szCs w:val="24"/>
        </w:rPr>
        <w:t xml:space="preserve">2, 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укупна бруто изграђена површина </w:t>
      </w:r>
      <w:r w:rsidRPr="00C544EA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9.341 м2, укупна нето површина </w:t>
      </w:r>
      <w:r w:rsidRPr="00C544EA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544EA">
        <w:rPr>
          <w:rFonts w:ascii="Times New Roman" w:hAnsi="Times New Roman" w:cs="Times New Roman"/>
          <w:color w:val="000000"/>
          <w:sz w:val="24"/>
          <w:szCs w:val="24"/>
        </w:rPr>
        <w:t>7.472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м2, површина приземља </w:t>
      </w:r>
      <w:r w:rsidRPr="00C544EA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544EA">
        <w:rPr>
          <w:rFonts w:ascii="Times New Roman" w:hAnsi="Times New Roman" w:cs="Times New Roman"/>
          <w:color w:val="000000"/>
          <w:sz w:val="24"/>
          <w:szCs w:val="24"/>
        </w:rPr>
        <w:t>6.650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м2, површина земљишта под објектом (заузетост) 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= 8.313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м2, (15,32%), 7 базена са тобоганима у отвореном и затвореном делу, садржај за децу и 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’’SPA Wellnes’’ 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комплекс. Услови из јавног огласа не могу бити неповољнији за Град од оних понуђених у Писму о намерама и идејном пројекту Заинтересованог понуђача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</w:t>
      </w:r>
      <w:r w:rsidRPr="00C544E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544EA" w:rsidRPr="00C544EA" w:rsidRDefault="00C544EA" w:rsidP="00C544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C544EA" w:rsidRDefault="00C544EA" w:rsidP="00C544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544EA">
        <w:rPr>
          <w:rFonts w:ascii="Times New Roman" w:hAnsi="Times New Roman" w:cs="Times New Roman"/>
          <w:b/>
          <w:sz w:val="24"/>
          <w:szCs w:val="24"/>
          <w:lang w:val="sr-Cyrl-RS"/>
        </w:rPr>
        <w:t>Чл. 99 Закона о планирању и изградњи (''Сл. Гласник РС'' бр. 72/09, 81/09, 132/2014 и 145/2014)</w:t>
      </w:r>
    </w:p>
    <w:p w:rsidR="00C544EA" w:rsidRDefault="00C544EA" w:rsidP="00C544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  <w:sectPr w:rsidR="00C544EA" w:rsidSect="007E186A">
          <w:footerReference w:type="default" r:id="rId9"/>
          <w:pgSz w:w="11907" w:h="16839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C544EA" w:rsidRPr="00C544EA" w:rsidRDefault="00C544EA" w:rsidP="00C544EA">
      <w:pPr>
        <w:pStyle w:val="Default"/>
        <w:jc w:val="both"/>
      </w:pPr>
      <w:r w:rsidRPr="00C544EA">
        <w:lastRenderedPageBreak/>
        <w:t xml:space="preserve">пословном капацитету понуђача, укључујући и искуство у изградњи и управљању објектима овог типа у региону. </w:t>
      </w:r>
    </w:p>
    <w:p w:rsidR="00C544EA" w:rsidRDefault="00C544EA" w:rsidP="00C544EA">
      <w:pPr>
        <w:pStyle w:val="Default"/>
        <w:jc w:val="both"/>
      </w:pPr>
    </w:p>
    <w:p w:rsidR="00C544EA" w:rsidRDefault="00C544EA" w:rsidP="00C544EA">
      <w:pPr>
        <w:pStyle w:val="Default"/>
        <w:jc w:val="both"/>
        <w:rPr>
          <w:lang w:val="sr-Cyrl-RS"/>
        </w:rPr>
      </w:pPr>
      <w:r w:rsidRPr="00C544EA">
        <w:t>Имајући у виду напред наведено, п</w:t>
      </w:r>
      <w:r>
        <w:t>оред обавезе изабраног најпово</w:t>
      </w:r>
      <w:r>
        <w:rPr>
          <w:lang w:val="sr-Cyrl-RS"/>
        </w:rPr>
        <w:t>љ</w:t>
      </w:r>
      <w:r w:rsidRPr="00C544EA">
        <w:t xml:space="preserve">нијег </w:t>
      </w:r>
      <w:r w:rsidR="00632A99">
        <w:t>понуђача, са којим ће бити зак</w:t>
      </w:r>
      <w:r w:rsidR="00632A99">
        <w:rPr>
          <w:lang w:val="sr-Cyrl-RS"/>
        </w:rPr>
        <w:t>љ</w:t>
      </w:r>
      <w:bookmarkStart w:id="0" w:name="_GoBack"/>
      <w:bookmarkEnd w:id="0"/>
      <w:r w:rsidRPr="00C544EA">
        <w:t>учен Уговор о отуђењу земљишта, о достави одговарајућих банкарских гаранција у висини процењене тржишне вредности земљишта,</w:t>
      </w:r>
      <w:r w:rsidR="00017F6D">
        <w:t xml:space="preserve"> као гаранције за испуњење Уг</w:t>
      </w:r>
      <w:r w:rsidR="00017F6D">
        <w:rPr>
          <w:lang w:val="sr-Cyrl-RS"/>
        </w:rPr>
        <w:t>о</w:t>
      </w:r>
      <w:r w:rsidR="00017F6D">
        <w:t>во</w:t>
      </w:r>
      <w:r w:rsidRPr="00C544EA">
        <w:t>рних обавеза, заинтересовани понуђачи ће, за озбиљност понуде и учешће на јавном надметању односно у фази прикупљања понуда, морати да доставе одговарајуће банкарске гаранције,</w:t>
      </w:r>
      <w:r w:rsidR="007E186A">
        <w:rPr>
          <w:lang w:val="sr-Cyrl-RS"/>
        </w:rPr>
        <w:t xml:space="preserve"> </w:t>
      </w:r>
      <w:r w:rsidR="007E186A" w:rsidRPr="007E186A">
        <w:rPr>
          <w:b/>
          <w:i/>
          <w:u w:val="single"/>
          <w:lang w:val="sr-Cyrl-RS"/>
        </w:rPr>
        <w:t>односно депозит</w:t>
      </w:r>
      <w:r w:rsidRPr="00C544EA">
        <w:t xml:space="preserve"> чији ће износ бити дефинисан текстом Јавног огласа. </w:t>
      </w:r>
    </w:p>
    <w:p w:rsidR="00C544EA" w:rsidRPr="00C544EA" w:rsidRDefault="00C544EA" w:rsidP="00C544EA">
      <w:pPr>
        <w:pStyle w:val="Default"/>
        <w:jc w:val="both"/>
        <w:rPr>
          <w:lang w:val="sr-Cyrl-RS"/>
        </w:rPr>
      </w:pPr>
    </w:p>
    <w:p w:rsidR="00C544EA" w:rsidRDefault="00C544EA" w:rsidP="00C544EA">
      <w:pPr>
        <w:pStyle w:val="Default"/>
        <w:jc w:val="both"/>
        <w:rPr>
          <w:lang w:val="sr-Cyrl-RS"/>
        </w:rPr>
      </w:pPr>
      <w:r w:rsidRPr="00C544EA">
        <w:t xml:space="preserve">АНЕКС 17 </w:t>
      </w:r>
    </w:p>
    <w:p w:rsidR="00C544EA" w:rsidRPr="00C544EA" w:rsidRDefault="00C544EA" w:rsidP="00C544EA">
      <w:pPr>
        <w:pStyle w:val="Default"/>
        <w:jc w:val="both"/>
        <w:rPr>
          <w:lang w:val="sr-Cyrl-RS"/>
        </w:rPr>
      </w:pPr>
      <w:r w:rsidRPr="00C544EA">
        <w:t>Попис и површина катастарких парцела за које се предлаже отуђење</w:t>
      </w:r>
    </w:p>
    <w:p w:rsidR="00C544EA" w:rsidRPr="00C544EA" w:rsidRDefault="00C544EA" w:rsidP="00C544EA">
      <w:pPr>
        <w:pStyle w:val="Default"/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2"/>
        <w:gridCol w:w="25"/>
        <w:gridCol w:w="2037"/>
        <w:gridCol w:w="50"/>
        <w:gridCol w:w="2088"/>
      </w:tblGrid>
      <w:tr w:rsidR="00C544EA" w:rsidRPr="00C544EA" w:rsidTr="00C544EA">
        <w:trPr>
          <w:trHeight w:val="247"/>
          <w:jc w:val="center"/>
        </w:trPr>
        <w:tc>
          <w:tcPr>
            <w:tcW w:w="2087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Број парцеле </w:t>
            </w:r>
          </w:p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КО Нишка Бања </w:t>
            </w:r>
          </w:p>
        </w:tc>
        <w:tc>
          <w:tcPr>
            <w:tcW w:w="2087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Катастарска класа </w:t>
            </w:r>
          </w:p>
        </w:tc>
        <w:tc>
          <w:tcPr>
            <w:tcW w:w="2088" w:type="dxa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Површина </w:t>
            </w:r>
          </w:p>
        </w:tc>
      </w:tr>
      <w:tr w:rsidR="00C544EA" w:rsidRPr="00C544EA" w:rsidTr="00C544EA">
        <w:trPr>
          <w:trHeight w:val="109"/>
          <w:jc w:val="center"/>
        </w:trPr>
        <w:tc>
          <w:tcPr>
            <w:tcW w:w="2087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2561/1 </w:t>
            </w:r>
          </w:p>
        </w:tc>
        <w:tc>
          <w:tcPr>
            <w:tcW w:w="2087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Њива 2.класе </w:t>
            </w:r>
          </w:p>
        </w:tc>
        <w:tc>
          <w:tcPr>
            <w:tcW w:w="2088" w:type="dxa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24 47 </w:t>
            </w:r>
          </w:p>
        </w:tc>
      </w:tr>
      <w:tr w:rsidR="00C544EA" w:rsidRPr="00C544EA" w:rsidTr="00C544EA">
        <w:trPr>
          <w:trHeight w:val="109"/>
          <w:jc w:val="center"/>
        </w:trPr>
        <w:tc>
          <w:tcPr>
            <w:tcW w:w="2087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2568/1 </w:t>
            </w:r>
          </w:p>
        </w:tc>
        <w:tc>
          <w:tcPr>
            <w:tcW w:w="2087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Њива 2.класе </w:t>
            </w:r>
          </w:p>
        </w:tc>
        <w:tc>
          <w:tcPr>
            <w:tcW w:w="2088" w:type="dxa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56 34 </w:t>
            </w:r>
          </w:p>
        </w:tc>
      </w:tr>
      <w:tr w:rsidR="00C544EA" w:rsidRPr="00C544EA" w:rsidTr="00C544EA">
        <w:trPr>
          <w:trHeight w:val="109"/>
          <w:jc w:val="center"/>
        </w:trPr>
        <w:tc>
          <w:tcPr>
            <w:tcW w:w="2087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8804 </w:t>
            </w:r>
          </w:p>
        </w:tc>
        <w:tc>
          <w:tcPr>
            <w:tcW w:w="2087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Њива 2.класе </w:t>
            </w:r>
          </w:p>
        </w:tc>
        <w:tc>
          <w:tcPr>
            <w:tcW w:w="2088" w:type="dxa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t xml:space="preserve">4 93 58 </w:t>
            </w:r>
          </w:p>
        </w:tc>
      </w:tr>
      <w:tr w:rsidR="00C544EA" w:rsidRPr="00C544EA" w:rsidTr="00B16B67">
        <w:trPr>
          <w:trHeight w:val="107"/>
          <w:jc w:val="center"/>
        </w:trPr>
        <w:tc>
          <w:tcPr>
            <w:tcW w:w="2062" w:type="dxa"/>
            <w:hideMark/>
          </w:tcPr>
          <w:p w:rsidR="00C544EA" w:rsidRPr="00C544EA" w:rsidRDefault="00C544EA" w:rsidP="00C544EA">
            <w:pPr>
              <w:pStyle w:val="Default"/>
              <w:jc w:val="both"/>
            </w:pPr>
          </w:p>
        </w:tc>
        <w:tc>
          <w:tcPr>
            <w:tcW w:w="2062" w:type="dxa"/>
            <w:gridSpan w:val="2"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rPr>
                <w:b/>
                <w:bCs/>
              </w:rPr>
              <w:t>УКУПНО:</w:t>
            </w:r>
          </w:p>
        </w:tc>
        <w:tc>
          <w:tcPr>
            <w:tcW w:w="2138" w:type="dxa"/>
            <w:gridSpan w:val="2"/>
            <w:hideMark/>
          </w:tcPr>
          <w:p w:rsidR="00C544EA" w:rsidRPr="00C544EA" w:rsidRDefault="00C544EA" w:rsidP="00C544EA">
            <w:pPr>
              <w:pStyle w:val="Default"/>
              <w:jc w:val="both"/>
            </w:pPr>
            <w:r w:rsidRPr="00C544EA">
              <w:rPr>
                <w:b/>
                <w:bCs/>
              </w:rPr>
              <w:t xml:space="preserve">5 42 35 </w:t>
            </w:r>
          </w:p>
        </w:tc>
      </w:tr>
    </w:tbl>
    <w:p w:rsidR="00C544EA" w:rsidRPr="00C544EA" w:rsidRDefault="00C544EA" w:rsidP="00C5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544EA" w:rsidRPr="00C544EA" w:rsidSect="00C544EA">
      <w:pgSz w:w="11907" w:h="16839" w:code="9"/>
      <w:pgMar w:top="1417" w:right="1417" w:bottom="1417" w:left="1417" w:header="708" w:footer="708" w:gutter="0"/>
      <w:pgNumType w:start="2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E5" w:rsidRDefault="00C928E5" w:rsidP="00C544EA">
      <w:pPr>
        <w:spacing w:after="0" w:line="240" w:lineRule="auto"/>
      </w:pPr>
      <w:r>
        <w:separator/>
      </w:r>
    </w:p>
  </w:endnote>
  <w:endnote w:type="continuationSeparator" w:id="0">
    <w:p w:rsidR="00C928E5" w:rsidRDefault="00C928E5" w:rsidP="00C5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225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4EA" w:rsidRDefault="00C544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44EA" w:rsidRDefault="00C54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E5" w:rsidRDefault="00C928E5" w:rsidP="00C544EA">
      <w:pPr>
        <w:spacing w:after="0" w:line="240" w:lineRule="auto"/>
      </w:pPr>
      <w:r>
        <w:separator/>
      </w:r>
    </w:p>
  </w:footnote>
  <w:footnote w:type="continuationSeparator" w:id="0">
    <w:p w:rsidR="00C928E5" w:rsidRDefault="00C928E5" w:rsidP="00C5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01C"/>
    <w:multiLevelType w:val="hybridMultilevel"/>
    <w:tmpl w:val="968A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EA"/>
    <w:rsid w:val="0000647F"/>
    <w:rsid w:val="00017F6D"/>
    <w:rsid w:val="0058212E"/>
    <w:rsid w:val="005D7088"/>
    <w:rsid w:val="00632A99"/>
    <w:rsid w:val="007E186A"/>
    <w:rsid w:val="00C544EA"/>
    <w:rsid w:val="00C928E5"/>
    <w:rsid w:val="00D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styleId="ListParagraph">
    <w:name w:val="List Paragraph"/>
    <w:basedOn w:val="Normal"/>
    <w:link w:val="ListParagraphChar"/>
    <w:uiPriority w:val="34"/>
    <w:qFormat/>
    <w:rsid w:val="00C544EA"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C544EA"/>
    <w:rPr>
      <w:rFonts w:ascii="Calibri" w:eastAsia="Calibri" w:hAnsi="Calibri" w:cs="Times New Roman"/>
      <w:lang w:val="sr-Latn-CS"/>
    </w:rPr>
  </w:style>
  <w:style w:type="paragraph" w:customStyle="1" w:styleId="Default">
    <w:name w:val="Default"/>
    <w:basedOn w:val="Normal"/>
    <w:rsid w:val="00C544E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4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EA"/>
  </w:style>
  <w:style w:type="paragraph" w:styleId="Footer">
    <w:name w:val="footer"/>
    <w:basedOn w:val="Normal"/>
    <w:link w:val="FooterChar"/>
    <w:uiPriority w:val="99"/>
    <w:unhideWhenUsed/>
    <w:rsid w:val="00C544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styleId="ListParagraph">
    <w:name w:val="List Paragraph"/>
    <w:basedOn w:val="Normal"/>
    <w:link w:val="ListParagraphChar"/>
    <w:uiPriority w:val="34"/>
    <w:qFormat/>
    <w:rsid w:val="00C544EA"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C544EA"/>
    <w:rPr>
      <w:rFonts w:ascii="Calibri" w:eastAsia="Calibri" w:hAnsi="Calibri" w:cs="Times New Roman"/>
      <w:lang w:val="sr-Latn-CS"/>
    </w:rPr>
  </w:style>
  <w:style w:type="paragraph" w:customStyle="1" w:styleId="Default">
    <w:name w:val="Default"/>
    <w:basedOn w:val="Normal"/>
    <w:rsid w:val="00C544E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4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EA"/>
  </w:style>
  <w:style w:type="paragraph" w:styleId="Footer">
    <w:name w:val="footer"/>
    <w:basedOn w:val="Normal"/>
    <w:link w:val="FooterChar"/>
    <w:uiPriority w:val="99"/>
    <w:unhideWhenUsed/>
    <w:rsid w:val="00C544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1352-B014-4AF4-83D7-A90FB57C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Ranđelović</dc:creator>
  <cp:lastModifiedBy>Mila Dimitrijević</cp:lastModifiedBy>
  <cp:revision>4</cp:revision>
  <dcterms:created xsi:type="dcterms:W3CDTF">2017-12-11T07:52:00Z</dcterms:created>
  <dcterms:modified xsi:type="dcterms:W3CDTF">2017-12-11T09:21:00Z</dcterms:modified>
</cp:coreProperties>
</file>