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D9" w:rsidRPr="009E3BD9" w:rsidRDefault="009E3BD9" w:rsidP="009E3BD9">
      <w:pPr>
        <w:spacing w:after="0" w:line="240" w:lineRule="auto"/>
        <w:jc w:val="both"/>
        <w:rPr>
          <w:rFonts w:ascii="Arial" w:eastAsia="Calibri" w:hAnsi="Arial" w:cs="Arial"/>
          <w:b/>
          <w:sz w:val="24"/>
          <w:szCs w:val="24"/>
          <w:lang/>
        </w:rPr>
      </w:pPr>
      <w:r w:rsidRPr="009E3BD9">
        <w:rPr>
          <w:rFonts w:ascii="Arial" w:eastAsia="Calibri" w:hAnsi="Arial" w:cs="Arial"/>
          <w:b/>
          <w:sz w:val="24"/>
          <w:szCs w:val="24"/>
          <w:lang/>
        </w:rPr>
        <w:t>ПРЕГЛЕД ЧЛАНОВА КОЈИ СЕ МЕЊАЈУ:</w:t>
      </w:r>
    </w:p>
    <w:p w:rsidR="009E3BD9" w:rsidRPr="009E3BD9" w:rsidRDefault="009E3BD9" w:rsidP="009E3BD9">
      <w:pPr>
        <w:spacing w:after="0" w:line="240" w:lineRule="auto"/>
        <w:jc w:val="both"/>
        <w:rPr>
          <w:rFonts w:ascii="Arial" w:eastAsia="Calibri" w:hAnsi="Arial" w:cs="Arial"/>
          <w:b/>
          <w:sz w:val="24"/>
          <w:szCs w:val="24"/>
          <w:lang/>
        </w:rPr>
      </w:pPr>
    </w:p>
    <w:p w:rsidR="009E3BD9" w:rsidRPr="009E3BD9" w:rsidRDefault="009E3BD9" w:rsidP="009E3BD9">
      <w:pPr>
        <w:suppressLineNumbers/>
        <w:autoSpaceDE w:val="0"/>
        <w:autoSpaceDN w:val="0"/>
        <w:adjustRightInd w:val="0"/>
        <w:spacing w:after="0" w:line="240" w:lineRule="auto"/>
        <w:ind w:firstLine="851"/>
        <w:jc w:val="both"/>
        <w:rPr>
          <w:rFonts w:ascii="Arial" w:eastAsia="Times New Roman" w:hAnsi="Arial" w:cs="Arial"/>
          <w:sz w:val="24"/>
          <w:szCs w:val="24"/>
          <w:lang w:eastAsia="sr-Cyrl-CS"/>
        </w:rPr>
      </w:pPr>
      <w:r w:rsidRPr="009E3BD9">
        <w:rPr>
          <w:rFonts w:ascii="Arial" w:eastAsia="Calibri" w:hAnsi="Arial" w:cs="Arial"/>
          <w:sz w:val="24"/>
          <w:szCs w:val="24"/>
          <w:lang/>
        </w:rPr>
        <w:t xml:space="preserve">                                                </w:t>
      </w: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10.</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За оглашавање се могу користити средства за оглашавање која се постављају на објекте из члана 7. и 9. ове одлуке, и то:</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пано, плакат, налепница;</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електронски дисплеј, светлећа слова, ласерски приказ;</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транспарент (платнени, пвц и сл.);</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огласна витрина;</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балон и</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xml:space="preserve">- друга средства која садрже огласну поруку. </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Изузетно од става 1. овог члана, огласна витрина може се поставити на другој површини и као самостојећа.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Као средство за оглашавање могу се користити и преносиви пано и летак.</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11.</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Тип, величина, услови и поступак за постављање објеката за оглашавање из чл. 5. и 6. и средстава за оглашавање на објектима из чл. 7. и 9. ове одлуке на територији Града утврђују се правилником који доноси Градоначелник Града Ниша.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Предлог акта из става 1. овог члана припрема  градска управа Града Ниша надлежна за послове  планирања и изградњу, у сарадњи са градском управом Града Ниша надлежном за послове саобраћаја.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pacing w:after="0" w:line="240" w:lineRule="auto"/>
        <w:jc w:val="both"/>
        <w:rPr>
          <w:rFonts w:ascii="Arial" w:eastAsia="Calibri" w:hAnsi="Arial" w:cs="Arial"/>
          <w:sz w:val="24"/>
          <w:szCs w:val="24"/>
          <w:lang/>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14.</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Место за постављање објеката за оглашавање из чл. 5. и 6. ове одлуке (појединачно или групација) одређује се планом места за постављање објеката за оглашавање на јавној површини (у даљем тексту: план).</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Планом се одређују и објекти, односно групација објеката из члана 7. ове одлуке на које се могу постављати средства за оглашавање.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Планом се утврђује врста, тип објекта, односно средства за оглашавање и ближи услови за њихово постављање.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План за подручје градских општина: Медијана, Палилула, Пантелеј Црвени Крст и Нишка Бања, доноси Градоначелник града Ниша. План припрема градска управа Града Ниша надлежна за послове планирања и изградње у сарадњи са градском управом Града Ниша, надлежном за послове саобраћаја</w:t>
      </w:r>
      <w:r w:rsidRPr="009E3BD9">
        <w:rPr>
          <w:rFonts w:ascii="Arial" w:eastAsia="Times New Roman" w:hAnsi="Arial" w:cs="Arial"/>
          <w:color w:val="000000"/>
          <w:sz w:val="24"/>
          <w:szCs w:val="24"/>
          <w:lang w:val="sr-Cyrl-CS" w:eastAsia="sr-Cyrl-CS"/>
        </w:rPr>
        <w:t>, а у складу са важећим урбанистичким плановима на подручјима градских општина</w:t>
      </w:r>
      <w:r w:rsidRPr="009E3BD9">
        <w:rPr>
          <w:rFonts w:ascii="Arial" w:eastAsia="Times New Roman" w:hAnsi="Arial" w:cs="Arial"/>
          <w:color w:val="000000"/>
          <w:sz w:val="24"/>
          <w:szCs w:val="24"/>
          <w:lang w:val="ru-RU" w:eastAsia="sr-Cyrl-CS"/>
        </w:rPr>
        <w:t>.</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Места за постављање објеката за слободно оглашавање одређују се на предлог градске општине, на чијем подручју се постављају.</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 поступку припреме плана,  надлежна градска управа Града Ниша прибавља сагласност установе за заштиту споменика културе и субјекта који управља површином, односно објектом обухваћеним планом.</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Градске управе Града Ниша из става 4.  овог члана израду плана могу поверити стручној организацији.</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План се доноси на период од десет година.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19.</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Комисија из става 1. члана 18. ове одлуке утврђује ранг-листу на основу критеријума, који су дефинисани текстом конкурса.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xml:space="preserve">Критеријум који мора садржавати текст конкурса је висина понуђене накнаде за постављање објеката, односно средстава за оглашавање.  </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По коначности ранг-листе комисија доноси одлуку о одређивању корисника места са којим се закључује засебан уговор.</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Одлука садржи податке о кориснику, месту, односно пакету места за постављање објекта, односно средства и укупном износу понуђене накнаде.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Одлуку о избору корисника и закључен уговор са изабраним корисником места, комисија доставља градској управи Града Ниша надлежној за издавање дозвола.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b/>
          <w:b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b/>
          <w:b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21.</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Поступак, спровођење и садржина јавног конкурса, мерила за вредновање критеријума, поступак закључења уговора са изабраним корисником и друга питања везана за спровођење јавног конкурса ближе се уређују актом који доноси Градоначелник града Ниша.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Акт из става 1. овог члана припрема  градска управа надлежна за планирање и изградњу.</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22.</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Корисник места поставља објекат, односно средство за оглашавање из чл. 5. и 7. ове одлуке на основу дозволе коју издаје градска управа Града Ниша, надлежна за послове планирања и изградње.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lastRenderedPageBreak/>
        <w:t>Дозвола из става 1. овог члана издаје се у форми решења за период важења плана и садржи: податке о кориснику места, броју места, месту (појединачно или групација) и условима постављања и коришћења објекта, односно средства, врсти и димензијама објекта, односно средства које се поставља, рок за постављање објекта и време на које се издаје. Саставни део решења је техничка документација на коју су надлежна јавна предузећа, односно други надлежни привредни субјекти дали сагласност.</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Дозвола из става 1. овог члана садржи податке о укупном износу накнаде за постављање објекта, односно средства, а број рата за плаћање накнаде за постављање објекта, односно средства, износ и рок уплате прве рате, начин утврђивања и рокови уплате осталих рата утврђују се решењем Управе за финансије, изворне приходе локалне самоуправе и јавне набавке.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Дозволу за оглашавање на начин утврђен у ставу 2. члана 13. ове одлуке издаје градска управа надлежна за послове планирања и изградње.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Дозвола за оглашавање из става 4. овог члана садржи услове и време на које се издаје (трасу кретања, димензије паноа, места задржавања, односно стајања и време у коме се врши оглашавање).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Градска управа Града Ниша, надлежна за издавање дозволе из ст. 1. и 4. овог члана примерак коначног решења доставља Управи за финансије, изворне приходе локалне самоуправе и јавне набавке, као и надлежној комуналној инспекцији.</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23.</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Корисник места дужан је да објекат, односно средство за оглашавање постави, по уплати прве рате накнаде за постављање објекта, односно средства, у року одређеном дозволом.</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Уколико корисник места не постави објекат, односно средство за оглашавање у року из става 1. овог члана,</w:t>
      </w:r>
      <w:r w:rsidRPr="009E3BD9">
        <w:rPr>
          <w:rFonts w:ascii="Arial" w:eastAsia="Times New Roman" w:hAnsi="Arial" w:cs="Arial"/>
          <w:color w:val="000000"/>
          <w:sz w:val="24"/>
          <w:szCs w:val="24"/>
          <w:lang w:val="sr-Latn-CS" w:eastAsia="sr-Cyrl-CS"/>
        </w:rPr>
        <w:t xml:space="preserve"> </w:t>
      </w:r>
      <w:r w:rsidRPr="009E3BD9">
        <w:rPr>
          <w:rFonts w:ascii="Arial" w:eastAsia="Times New Roman" w:hAnsi="Arial" w:cs="Arial"/>
          <w:color w:val="000000"/>
          <w:sz w:val="24"/>
          <w:szCs w:val="24"/>
          <w:lang w:val="ru-RU" w:eastAsia="sr-Cyrl-CS"/>
        </w:rPr>
        <w:t>надлежна градска управа Града Ниша, која је издала дозволу, доноси решење о престанку важења дозволе, за сва места, односно групацију у целини.</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rPr>
          <w:rFonts w:ascii="Arial" w:eastAsia="Times New Roman" w:hAnsi="Arial" w:cs="Arial"/>
          <w:b/>
          <w:b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24.</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Корисник места који намерава да престане са оглашавањем пре истека времена за које је дозвола издата, дужан је да о томе обавести  градску управу Града Ниша, која је издала дозволу.</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xml:space="preserve"> Градска управа града Ниша, надлежна за издавање дозволе, у року од 30 дана од дана пријема обавештења доноси решење о престанку важења дозволе из члана 22. ове одлуке, за сва места, односно групацију у целини и примерак </w:t>
      </w:r>
      <w:r w:rsidRPr="009E3BD9">
        <w:rPr>
          <w:rFonts w:ascii="Arial" w:eastAsia="Times New Roman" w:hAnsi="Arial" w:cs="Arial"/>
          <w:color w:val="000000"/>
          <w:sz w:val="24"/>
          <w:szCs w:val="24"/>
          <w:lang w:val="ru-RU" w:eastAsia="sr-Cyrl-CS"/>
        </w:rPr>
        <w:lastRenderedPageBreak/>
        <w:t>коначног решења доставља Управи за финансије, изворне приходе локалне самоуправе и јавне набавке и надлежној  комуналној инспекцији.</w:t>
      </w: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25.</w:t>
      </w: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 случају измене плана из члана 15. став 2. ове одлуке, услед које се укида место (појединачно или групација), градска управа Града Ниша, која је издала дозволу,  дужна је да кориснику тог места понуди одговарајуће место у складу са планом, уколико такво место постоји.</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Одговарајуће место у смислу става 1. овог члана је место намењено за постављање истог типа и величине објекта, односно средства и налази се у истој зони у смислу одлуке којом се уређује плаћање локалне комуналне таксе.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Ако корисник места прихвати понуђено место, градска управа града Ниша надлежна за издавање дозволе, доноси решење о томе и одређује рок у коме је корисник дужан да објекат, односно средство премести.</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Ако корисник места не прихвати понуђено место или одговарајуће место не постоји, градска управа Града Ниша, која је издала дозволу, доноси решење о престанку важења дозволе за то место. Примерак решења се доставља Управи за финансије, изворне приходе локалне самоуправе и јавне набавке Града Ниша и надлежној комуналној инспекцији.</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 случају из става 4. овог члана, преостали износ накнаде за постављање објекта, односно средства за оглашавање, умањује се сразмерно броју укинутих места.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Трошкове уклањања, односно постављања објекта, односно средства за оглашавање у случајевима из става 3. овог члана сноси градска управа Града Ниша која је издала дозволу, према приложеном рачуну, а највише до износа накнаде коју за ту врсту услуге наплаћује субјект који управља површином, односно објектом.</w:t>
      </w:r>
    </w:p>
    <w:p w:rsidR="009E3BD9" w:rsidRPr="009E3BD9" w:rsidRDefault="009E3BD9" w:rsidP="009E3BD9">
      <w:pPr>
        <w:suppressLineNumbers/>
        <w:autoSpaceDE w:val="0"/>
        <w:autoSpaceDN w:val="0"/>
        <w:adjustRightInd w:val="0"/>
        <w:spacing w:after="0" w:line="240" w:lineRule="auto"/>
        <w:rPr>
          <w:rFonts w:ascii="Arial" w:eastAsia="Times New Roman" w:hAnsi="Arial" w:cs="Arial"/>
          <w:b/>
          <w:b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26.</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Дозвола престаје да важи пре истека рока на који је издата у случају када лице које врши оглашавање не плаћа утврђену рату накнаде за постављање објекта, односно средства за оглашавање, у остављеном року.</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Дозвола престаје да важи пре истека рока и у случају када лице које врши оглашавање не плаћа локалну комуналну таксу у износу утврђеном решењем дуже од два месеца.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 случају из ст. 1. и 2. овог члана, градска управа Града Ниша која је издала дозволу, на основу података које доставља Градска управа за финансије, изворне приходе локалне самоуправе и јавне  набавке утврђује да је дозвола за сва места, односно групацију у целини престала да важи и примерак решења доставља надлежној комуналној инспекцији и Градској управа за финансије, изворне приходе локалне самоуправе и јавне  набавке.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29.</w:t>
      </w: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Оглашавање на другим површинама врши се на основу дозволе коју на захтев заинтересованог лица издаје  Општинска управа градске општине, на чијој територији се поставља објекат, односно средство за оглашавање.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Дозвола се издаје у форми решења и садржи нарочито: податке о лицу које врши оглашавање, месту и условима постављања, врсти и димензијама објекта, односно средства које се поставља и време на које се издаје.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Уз захтев за издавање дозволе прилаже се техничка документација израђена у складу са актом из члана 11. ове одлуке.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Техничка документација из става 4. овог члана чини саставни део решења.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Општинска управа градске општине која је издала дозволу, примерак коначног решења доставља Градској управи за финансије, изворне приходе локалне самоуправе и јавне набавке  и надлежној комуналној инспекцији.</w:t>
      </w:r>
    </w:p>
    <w:p w:rsidR="009E3BD9" w:rsidRPr="009E3BD9" w:rsidRDefault="009E3BD9" w:rsidP="009E3BD9">
      <w:pPr>
        <w:suppressLineNumbers/>
        <w:autoSpaceDE w:val="0"/>
        <w:autoSpaceDN w:val="0"/>
        <w:adjustRightInd w:val="0"/>
        <w:spacing w:after="0" w:line="240" w:lineRule="auto"/>
        <w:jc w:val="center"/>
        <w:rPr>
          <w:rFonts w:ascii="Arial CYR" w:eastAsia="Times New Roman" w:hAnsi="Arial CYR" w:cs="Arial CYR"/>
          <w:b/>
          <w:bCs/>
          <w:color w:val="008080"/>
          <w:sz w:val="20"/>
          <w:szCs w:val="20"/>
          <w:u w:val="single"/>
          <w:lang w:val="sr-Cyrl-CS"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33.</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Надзор над применом одредаба ове одлуке врши Управа надлежна за планирање и изградњу.</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Инспекцијски надзор над применом одредаба ове одлуке врши комунална инспекција градске општине.</w:t>
      </w: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34.</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 вршењу инспекцијског надзора, комунални инспектор је овлашћен да:</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1. нареди извршавање утврђених обавеза и предузимање мера за отклањање недостатака;</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2. нареди отклањање последица које су учињене радњама или пропуштањем противно одредбама ове одлуке;</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3. нареди уклањање објекта, односно средства за оглашавање,</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4. предузме друге мере у складу са законом и прописима Града.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Објекат, односно средство за оглашавање уклања се: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1. када се објекат, односно средство за оглашавање за чије постављање се место утврђује планом, постави на место које није одређено планом;</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2. када се објекат, односно средство за оглашавање постави или користи без дозволе;</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3. када је објекат, односно средство за оглашавање постављено или се користи супротно условима утврђеним дозволом;</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4. када се промени неки од услова утврђен дозволом, а лице које врши оглашавање се не прилагоди у остављеном року;</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5. када објекат, односно средство користи неовлашћено лице,</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6. када корисник места или лице које оглашава за сопствене потребе објекат, односно средство за оглашавање не доведе у исправно и уредно стање у року који решењем одреди комунални инспектор.</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Уклањање објекта и средства за оглашавање врши се о трошку корисника места, односно лица које врши оглашавање за сопствене потребе.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Ако лице из става 3. овог члана не поступи по решењу комуналног инспектора и не уклони објекат, односно средство за оглашавање, решење ће се извршити преко другог лица, у складу са законом.</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Ако је решењем инспектора наложено уклањање плаката, а лице коме је мера наложена не поступи по решењу или је лице које је лепило плакат непознато, решење се може извршити преко субјекта коме је Град   поверио одржавање чистоће.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О уклањању објекта за оглашавање комунални инспектор обавештава градску управу Града Ниша, односно Општинску управу градске општине, која је издала дозволу.</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По пријему обавештења из става 6. овог члана, Градска управа Града Ниша, односно општинска управа градске општине која је издала дозволу, доноси решење о престанку важења дозволе.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color w:val="000000"/>
          <w:sz w:val="24"/>
          <w:szCs w:val="24"/>
          <w:lang w:val="ru-RU" w:eastAsia="sr-Cyrl-CS"/>
        </w:rPr>
      </w:pPr>
      <w:r w:rsidRPr="009E3BD9">
        <w:rPr>
          <w:rFonts w:ascii="Arial" w:eastAsia="Times New Roman" w:hAnsi="Arial" w:cs="Arial"/>
          <w:b/>
          <w:bCs/>
          <w:color w:val="000000"/>
          <w:sz w:val="24"/>
          <w:szCs w:val="24"/>
          <w:lang w:val="ru-RU" w:eastAsia="sr-Cyrl-CS"/>
        </w:rPr>
        <w:t>Члан 35.</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Новчаном казном од 5</w:t>
      </w:r>
      <w:r w:rsidRPr="009E3BD9">
        <w:rPr>
          <w:rFonts w:ascii="Arial" w:eastAsia="Times New Roman" w:hAnsi="Arial" w:cs="Arial"/>
          <w:color w:val="000000"/>
          <w:sz w:val="24"/>
          <w:szCs w:val="24"/>
          <w:lang w:val="sr-Latn-CS" w:eastAsia="sr-Cyrl-CS"/>
        </w:rPr>
        <w:t>0</w:t>
      </w:r>
      <w:r w:rsidRPr="009E3BD9">
        <w:rPr>
          <w:rFonts w:ascii="Arial" w:eastAsia="Times New Roman" w:hAnsi="Arial" w:cs="Arial"/>
          <w:color w:val="000000"/>
          <w:sz w:val="24"/>
          <w:szCs w:val="24"/>
          <w:lang w:val="ru-RU" w:eastAsia="sr-Cyrl-CS"/>
        </w:rPr>
        <w:t>.000 до 500.000 динара казниће се за прекршај правно лице: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ако објекат за оглашавање постави на месту које није утврђено планом (члан 14. став 1. и 2);</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ако објекат односно средство  за оглашавање постави или користи без дозволе или супротно дозволи (чл. 22, 29. и 30. став 3),</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ако оглашавање из члана 13. став 2. ове одлуке врши без дозволе или супротно дозволи (члан 22. ст. 4. и 5);</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xml:space="preserve">- ако поступа супротно одредбама члана 30. ове одлуке. </w:t>
      </w:r>
    </w:p>
    <w:p w:rsidR="009E3BD9" w:rsidRPr="009E3BD9" w:rsidRDefault="009E3BD9" w:rsidP="009E3BD9">
      <w:pPr>
        <w:suppressLineNumbers/>
        <w:autoSpaceDE w:val="0"/>
        <w:autoSpaceDN w:val="0"/>
        <w:adjustRightInd w:val="0"/>
        <w:spacing w:after="0" w:line="240" w:lineRule="auto"/>
        <w:ind w:left="450" w:hanging="300"/>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lastRenderedPageBreak/>
        <w:t xml:space="preserve">За прекршај из става 1. овог члана казниће се предузетник новчаном казном од </w:t>
      </w:r>
      <w:r w:rsidRPr="009E3BD9">
        <w:rPr>
          <w:rFonts w:ascii="Arial" w:eastAsia="Times New Roman" w:hAnsi="Arial" w:cs="Arial"/>
          <w:color w:val="000000"/>
          <w:sz w:val="24"/>
          <w:szCs w:val="24"/>
          <w:lang w:val="sr-Latn-CS" w:eastAsia="sr-Cyrl-CS"/>
        </w:rPr>
        <w:t>10.000</w:t>
      </w:r>
      <w:r w:rsidRPr="009E3BD9">
        <w:rPr>
          <w:rFonts w:ascii="Arial" w:eastAsia="Times New Roman" w:hAnsi="Arial" w:cs="Arial"/>
          <w:color w:val="000000"/>
          <w:sz w:val="24"/>
          <w:szCs w:val="24"/>
          <w:lang w:val="ru-RU" w:eastAsia="sr-Cyrl-CS"/>
        </w:rPr>
        <w:t xml:space="preserve"> до 250.000 динара.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 xml:space="preserve">За прекршај из става 1. овог члана казниће се одговорно лице у правном лицу и физичко лице новчаном казном од </w:t>
      </w:r>
      <w:r w:rsidRPr="009E3BD9">
        <w:rPr>
          <w:rFonts w:ascii="Arial" w:eastAsia="Times New Roman" w:hAnsi="Arial" w:cs="Arial"/>
          <w:color w:val="000000"/>
          <w:sz w:val="24"/>
          <w:szCs w:val="24"/>
          <w:lang w:val="sr-Latn-CS" w:eastAsia="sr-Cyrl-CS"/>
        </w:rPr>
        <w:t>5.000</w:t>
      </w:r>
      <w:r w:rsidRPr="009E3BD9">
        <w:rPr>
          <w:rFonts w:ascii="Arial" w:eastAsia="Times New Roman" w:hAnsi="Arial" w:cs="Arial"/>
          <w:color w:val="000000"/>
          <w:sz w:val="24"/>
          <w:szCs w:val="24"/>
          <w:lang w:val="ru-RU" w:eastAsia="sr-Cyrl-CS"/>
        </w:rPr>
        <w:t xml:space="preserve"> до 25.000 динара.</w:t>
      </w: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i/>
          <w:i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i/>
          <w:i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i/>
          <w:iCs/>
          <w:color w:val="000000"/>
          <w:sz w:val="24"/>
          <w:szCs w:val="24"/>
          <w:lang w:val="ru-RU" w:eastAsia="sr-Cyrl-CS"/>
        </w:rPr>
      </w:pPr>
      <w:r w:rsidRPr="009E3BD9">
        <w:rPr>
          <w:rFonts w:ascii="Arial" w:eastAsia="Times New Roman" w:hAnsi="Arial" w:cs="Arial"/>
          <w:b/>
          <w:bCs/>
          <w:color w:val="000000"/>
          <w:sz w:val="24"/>
          <w:szCs w:val="24"/>
          <w:lang w:val="ru-RU" w:eastAsia="sr-Cyrl-CS"/>
        </w:rPr>
        <w:t>Члан 36</w:t>
      </w:r>
      <w:r w:rsidRPr="009E3BD9">
        <w:rPr>
          <w:rFonts w:ascii="Arial" w:eastAsia="Times New Roman" w:hAnsi="Arial" w:cs="Arial"/>
          <w:b/>
          <w:bCs/>
          <w:i/>
          <w:iCs/>
          <w:color w:val="000000"/>
          <w:sz w:val="24"/>
          <w:szCs w:val="24"/>
          <w:lang w:val="ru-RU" w:eastAsia="sr-Cyrl-CS"/>
        </w:rPr>
        <w:t>.</w:t>
      </w:r>
    </w:p>
    <w:p w:rsidR="009E3BD9" w:rsidRPr="009E3BD9" w:rsidRDefault="009E3BD9" w:rsidP="009E3BD9">
      <w:pPr>
        <w:suppressLineNumbers/>
        <w:autoSpaceDE w:val="0"/>
        <w:autoSpaceDN w:val="0"/>
        <w:adjustRightInd w:val="0"/>
        <w:spacing w:after="0" w:line="240" w:lineRule="auto"/>
        <w:jc w:val="center"/>
        <w:rPr>
          <w:rFonts w:ascii="Arial" w:eastAsia="Times New Roman" w:hAnsi="Arial" w:cs="Arial"/>
          <w:b/>
          <w:bCs/>
          <w:i/>
          <w:iCs/>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r w:rsidRPr="009E3BD9">
        <w:rPr>
          <w:rFonts w:ascii="Arial" w:eastAsia="Times New Roman" w:hAnsi="Arial" w:cs="Arial"/>
          <w:color w:val="000000"/>
          <w:sz w:val="24"/>
          <w:szCs w:val="24"/>
          <w:lang w:val="ru-RU" w:eastAsia="sr-Cyrl-CS"/>
        </w:rPr>
        <w:t>Новчаном казном од 10.000 динара казниће се за прекршај предузетник, а новчаном казном од 50.000 динара правно лице, ако поступи супротно забранама из члана 32. ове одлуке.</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ru-RU"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sr-Latn-CS" w:eastAsia="sr-Cyrl-CS"/>
        </w:rPr>
      </w:pPr>
      <w:r w:rsidRPr="009E3BD9">
        <w:rPr>
          <w:rFonts w:ascii="Arial" w:eastAsia="Times New Roman" w:hAnsi="Arial" w:cs="Arial"/>
          <w:color w:val="000000"/>
          <w:sz w:val="24"/>
          <w:szCs w:val="24"/>
          <w:lang w:val="ru-RU" w:eastAsia="sr-Cyrl-CS"/>
        </w:rPr>
        <w:t xml:space="preserve">За прекршај из става 1. овог члана казниће се одговорно лице у правном лицу и физичко лице новчаном казном од </w:t>
      </w:r>
      <w:r w:rsidRPr="009E3BD9">
        <w:rPr>
          <w:rFonts w:ascii="Arial" w:eastAsia="Times New Roman" w:hAnsi="Arial" w:cs="Arial"/>
          <w:color w:val="000000"/>
          <w:sz w:val="24"/>
          <w:szCs w:val="24"/>
          <w:lang w:val="sr-Latn-CS" w:eastAsia="sr-Cyrl-CS"/>
        </w:rPr>
        <w:t>5.000</w:t>
      </w:r>
      <w:r w:rsidRPr="009E3BD9">
        <w:rPr>
          <w:rFonts w:ascii="Arial" w:eastAsia="Times New Roman" w:hAnsi="Arial" w:cs="Arial"/>
          <w:color w:val="000000"/>
          <w:sz w:val="24"/>
          <w:szCs w:val="24"/>
          <w:lang w:val="ru-RU" w:eastAsia="sr-Cyrl-CS"/>
        </w:rPr>
        <w:t xml:space="preserve"> динара.</w:t>
      </w: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color w:val="000000"/>
          <w:sz w:val="24"/>
          <w:szCs w:val="24"/>
          <w:lang w:val="sr-Latn-CS" w:eastAsia="sr-Cyrl-CS"/>
        </w:rPr>
      </w:pPr>
    </w:p>
    <w:p w:rsidR="009E3BD9" w:rsidRPr="009E3BD9" w:rsidRDefault="009E3BD9" w:rsidP="009E3BD9">
      <w:pPr>
        <w:suppressLineNumbers/>
        <w:autoSpaceDE w:val="0"/>
        <w:autoSpaceDN w:val="0"/>
        <w:adjustRightInd w:val="0"/>
        <w:spacing w:after="0" w:line="240" w:lineRule="auto"/>
        <w:jc w:val="both"/>
        <w:rPr>
          <w:rFonts w:ascii="Arial" w:eastAsia="Times New Roman" w:hAnsi="Arial" w:cs="Arial"/>
          <w:b/>
          <w:bCs/>
          <w:color w:val="008080"/>
          <w:sz w:val="24"/>
          <w:szCs w:val="24"/>
          <w:u w:val="single"/>
          <w:lang w:val="sr-Cyrl-CS" w:eastAsia="sr-Cyrl-CS"/>
        </w:rPr>
      </w:pPr>
      <w:r w:rsidRPr="009E3BD9">
        <w:rPr>
          <w:rFonts w:ascii="Arial" w:eastAsia="Times New Roman" w:hAnsi="Arial" w:cs="Arial"/>
          <w:sz w:val="24"/>
          <w:szCs w:val="24"/>
          <w:lang w:eastAsia="sr-Cyrl-CS"/>
        </w:rPr>
        <w:t>Новчану казну из ст. 1. и 2. овог члана наплаћује на лицу места комунални инспектор.</w:t>
      </w:r>
    </w:p>
    <w:p w:rsidR="009E3BD9" w:rsidRPr="009E3BD9" w:rsidRDefault="009E3BD9" w:rsidP="009E3BD9">
      <w:pPr>
        <w:autoSpaceDE w:val="0"/>
        <w:autoSpaceDN w:val="0"/>
        <w:adjustRightInd w:val="0"/>
        <w:spacing w:after="0" w:line="240" w:lineRule="auto"/>
        <w:jc w:val="both"/>
        <w:rPr>
          <w:rFonts w:ascii="Arial" w:eastAsia="Calibri" w:hAnsi="Arial" w:cs="Arial"/>
          <w:sz w:val="24"/>
          <w:szCs w:val="24"/>
          <w:lang/>
        </w:rPr>
      </w:pPr>
    </w:p>
    <w:p w:rsidR="00327D63" w:rsidRDefault="00327D63"/>
    <w:sectPr w:rsidR="00327D63" w:rsidSect="00571739">
      <w:headerReference w:type="even" r:id="rId4"/>
      <w:headerReference w:type="default" r:id="rId5"/>
      <w:footerReference w:type="even" r:id="rId6"/>
      <w:footerReference w:type="default" r:id="rId7"/>
      <w:headerReference w:type="first" r:id="rId8"/>
      <w:footerReference w:type="first" r:id="rId9"/>
      <w:pgSz w:w="11907" w:h="16840" w:code="9"/>
      <w:pgMar w:top="284" w:right="1418" w:bottom="1418"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0" w:rsidRDefault="009E3B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4D" w:rsidRDefault="009E3BD9">
    <w:pPr>
      <w:pStyle w:val="Footer"/>
      <w:jc w:val="right"/>
    </w:pPr>
    <w:r>
      <w:fldChar w:fldCharType="begin"/>
    </w:r>
    <w:r>
      <w:instrText xml:space="preserve"> PAGE   \* MERGEFORMAT </w:instrText>
    </w:r>
    <w:r>
      <w:fldChar w:fldCharType="separate"/>
    </w:r>
    <w:r>
      <w:rPr>
        <w:noProof/>
      </w:rPr>
      <w:t>1</w:t>
    </w:r>
    <w:r>
      <w:fldChar w:fldCharType="end"/>
    </w:r>
  </w:p>
  <w:p w:rsidR="00B4694D" w:rsidRDefault="009E3B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0" w:rsidRDefault="009E3BD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0" w:rsidRDefault="009E3B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0" w:rsidRDefault="009E3B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0" w:rsidRDefault="009E3B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E3BD9"/>
    <w:rsid w:val="00327D63"/>
    <w:rsid w:val="009E3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BD9"/>
    <w:pPr>
      <w:tabs>
        <w:tab w:val="center" w:pos="4703"/>
        <w:tab w:val="right" w:pos="9406"/>
      </w:tabs>
    </w:pPr>
    <w:rPr>
      <w:rFonts w:ascii="Calibri" w:eastAsia="Calibri" w:hAnsi="Calibri" w:cs="Times New Roman"/>
    </w:rPr>
  </w:style>
  <w:style w:type="character" w:customStyle="1" w:styleId="HeaderChar">
    <w:name w:val="Header Char"/>
    <w:basedOn w:val="DefaultParagraphFont"/>
    <w:link w:val="Header"/>
    <w:uiPriority w:val="99"/>
    <w:rsid w:val="009E3BD9"/>
    <w:rPr>
      <w:rFonts w:ascii="Calibri" w:eastAsia="Calibri" w:hAnsi="Calibri" w:cs="Times New Roman"/>
    </w:rPr>
  </w:style>
  <w:style w:type="paragraph" w:styleId="Footer">
    <w:name w:val="footer"/>
    <w:basedOn w:val="Normal"/>
    <w:link w:val="FooterChar"/>
    <w:uiPriority w:val="99"/>
    <w:unhideWhenUsed/>
    <w:rsid w:val="009E3BD9"/>
    <w:pPr>
      <w:tabs>
        <w:tab w:val="center" w:pos="4703"/>
        <w:tab w:val="right" w:pos="9406"/>
      </w:tabs>
    </w:pPr>
    <w:rPr>
      <w:rFonts w:ascii="Calibri" w:eastAsia="Calibri" w:hAnsi="Calibri" w:cs="Times New Roman"/>
    </w:rPr>
  </w:style>
  <w:style w:type="character" w:customStyle="1" w:styleId="FooterChar">
    <w:name w:val="Footer Char"/>
    <w:basedOn w:val="DefaultParagraphFont"/>
    <w:link w:val="Footer"/>
    <w:uiPriority w:val="99"/>
    <w:rsid w:val="009E3BD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zlmilan</dc:creator>
  <cp:keywords/>
  <dc:description/>
  <cp:lastModifiedBy>zlmilan</cp:lastModifiedBy>
  <cp:revision>2</cp:revision>
  <dcterms:created xsi:type="dcterms:W3CDTF">2017-06-30T05:53:00Z</dcterms:created>
  <dcterms:modified xsi:type="dcterms:W3CDTF">2017-06-30T05:53:00Z</dcterms:modified>
</cp:coreProperties>
</file>