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4B" w:rsidRPr="00057948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57948">
        <w:rPr>
          <w:rFonts w:ascii="Arial" w:hAnsi="Arial" w:cs="Arial"/>
          <w:b/>
          <w:sz w:val="32"/>
          <w:szCs w:val="32"/>
          <w:lang w:val="sr-Cyrl-CS"/>
        </w:rPr>
        <w:t>Сигурна кућа за жене и децу жртве породичног насиља</w:t>
      </w:r>
    </w:p>
    <w:p w:rsidR="00E22A4B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57948">
        <w:rPr>
          <w:rFonts w:ascii="Arial" w:hAnsi="Arial" w:cs="Arial"/>
          <w:b/>
          <w:sz w:val="32"/>
          <w:szCs w:val="32"/>
          <w:lang w:val="sr-Cyrl-CS"/>
        </w:rPr>
        <w:t>Ниш</w:t>
      </w:r>
    </w:p>
    <w:p w:rsidR="00E22A4B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E22A4B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E22A4B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E22A4B" w:rsidRDefault="00E22A4B" w:rsidP="00E22A4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E22A4B" w:rsidRPr="00057948" w:rsidRDefault="00E22A4B" w:rsidP="00E22A4B">
      <w:pPr>
        <w:jc w:val="center"/>
        <w:rPr>
          <w:rFonts w:ascii="Arial" w:hAnsi="Arial" w:cs="Arial"/>
          <w:b/>
          <w:i/>
          <w:sz w:val="44"/>
          <w:szCs w:val="44"/>
          <w:lang w:val="sr-Cyrl-CS"/>
        </w:rPr>
      </w:pPr>
      <w:r>
        <w:rPr>
          <w:rFonts w:ascii="Arial" w:hAnsi="Arial" w:cs="Arial"/>
          <w:b/>
          <w:i/>
          <w:sz w:val="44"/>
          <w:szCs w:val="44"/>
          <w:lang w:val="sr-Cyrl-CS"/>
        </w:rPr>
        <w:t>ПРОГРАМ</w:t>
      </w:r>
      <w:r w:rsidRPr="00057948">
        <w:rPr>
          <w:rFonts w:ascii="Arial" w:hAnsi="Arial" w:cs="Arial"/>
          <w:b/>
          <w:i/>
          <w:sz w:val="44"/>
          <w:szCs w:val="44"/>
          <w:lang w:val="sr-Cyrl-CS"/>
        </w:rPr>
        <w:t xml:space="preserve"> РАД</w:t>
      </w:r>
      <w:r>
        <w:rPr>
          <w:rFonts w:ascii="Arial" w:hAnsi="Arial" w:cs="Arial"/>
          <w:b/>
          <w:i/>
          <w:sz w:val="44"/>
          <w:szCs w:val="44"/>
          <w:lang w:val="sr-Cyrl-CS"/>
        </w:rPr>
        <w:t>А ЗА 2017</w:t>
      </w:r>
      <w:r w:rsidRPr="00057948">
        <w:rPr>
          <w:rFonts w:ascii="Arial" w:hAnsi="Arial" w:cs="Arial"/>
          <w:b/>
          <w:i/>
          <w:sz w:val="44"/>
          <w:szCs w:val="44"/>
          <w:lang w:val="sr-Cyrl-CS"/>
        </w:rPr>
        <w:t>.ГОДИНУ</w:t>
      </w:r>
    </w:p>
    <w:p w:rsidR="00E22A4B" w:rsidRPr="00083AA1" w:rsidRDefault="00E22A4B" w:rsidP="00E22A4B">
      <w:pPr>
        <w:pStyle w:val="ListParagraph"/>
        <w:ind w:left="360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083AA1" w:rsidRDefault="00E22A4B" w:rsidP="00E22A4B">
      <w:pPr>
        <w:pStyle w:val="ListParagraph"/>
        <w:ind w:left="360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083AA1" w:rsidRDefault="00E22A4B" w:rsidP="00E22A4B">
      <w:pPr>
        <w:pStyle w:val="ListParagraph"/>
        <w:ind w:left="360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  </w:t>
      </w:r>
    </w:p>
    <w:p w:rsidR="009A2722" w:rsidRDefault="009A2722" w:rsidP="00E22A4B">
      <w:pPr>
        <w:rPr>
          <w:rFonts w:ascii="Arial" w:hAnsi="Arial" w:cs="Arial"/>
          <w:b/>
          <w:sz w:val="28"/>
          <w:szCs w:val="28"/>
          <w:lang w:val="sr-Cyrl-CS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lastRenderedPageBreak/>
        <w:t xml:space="preserve"> Садржај:</w:t>
      </w:r>
    </w:p>
    <w:p w:rsidR="00E22A4B" w:rsidRPr="005A6A2E" w:rsidRDefault="00E22A4B" w:rsidP="00E22A4B">
      <w:pPr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3E7E43" w:rsidRDefault="00E22A4B" w:rsidP="00E22A4B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t>Увод</w:t>
      </w:r>
    </w:p>
    <w:p w:rsidR="00E22A4B" w:rsidRDefault="00E22A4B" w:rsidP="00E22A4B">
      <w:pPr>
        <w:pStyle w:val="ListParagraph"/>
        <w:jc w:val="both"/>
        <w:rPr>
          <w:b/>
          <w:sz w:val="28"/>
          <w:szCs w:val="28"/>
          <w:lang w:val="sr-Cyrl-CS"/>
        </w:rPr>
      </w:pPr>
    </w:p>
    <w:p w:rsidR="00E22A4B" w:rsidRDefault="00E22A4B" w:rsidP="00E22A4B">
      <w:pPr>
        <w:pStyle w:val="ListParagraph"/>
        <w:numPr>
          <w:ilvl w:val="1"/>
          <w:numId w:val="1"/>
        </w:num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Полазне основе</w:t>
      </w:r>
    </w:p>
    <w:p w:rsidR="00E22A4B" w:rsidRDefault="00E22A4B" w:rsidP="00E22A4B">
      <w:pPr>
        <w:pStyle w:val="ListParagraph"/>
        <w:numPr>
          <w:ilvl w:val="1"/>
          <w:numId w:val="1"/>
        </w:num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Циљеви функционисања установе</w:t>
      </w:r>
    </w:p>
    <w:p w:rsidR="00E22A4B" w:rsidRDefault="00E22A4B" w:rsidP="00E22A4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</w:t>
      </w:r>
    </w:p>
    <w:p w:rsidR="00E22A4B" w:rsidRPr="003E7E43" w:rsidRDefault="00E22A4B" w:rsidP="00E22A4B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3E7E43">
        <w:rPr>
          <w:b/>
          <w:sz w:val="36"/>
          <w:szCs w:val="36"/>
          <w:lang w:val="sr-Cyrl-CS"/>
        </w:rPr>
        <w:t>Програмске активности</w:t>
      </w:r>
    </w:p>
    <w:p w:rsidR="00E22A4B" w:rsidRDefault="00E22A4B" w:rsidP="00E22A4B">
      <w:pPr>
        <w:ind w:left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2.1 Планиране активности </w:t>
      </w:r>
    </w:p>
    <w:p w:rsidR="00E22A4B" w:rsidRPr="004C6DEE" w:rsidRDefault="00E22A4B" w:rsidP="00E22A4B">
      <w:pPr>
        <w:pStyle w:val="ListParagraph"/>
        <w:numPr>
          <w:ilvl w:val="1"/>
          <w:numId w:val="5"/>
        </w:num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Pr="004C6DEE">
        <w:rPr>
          <w:b/>
          <w:sz w:val="28"/>
          <w:szCs w:val="28"/>
          <w:lang w:val="sr-Cyrl-CS"/>
        </w:rPr>
        <w:t>Пројектне активности</w:t>
      </w:r>
    </w:p>
    <w:p w:rsidR="00E22A4B" w:rsidRPr="00E22A4B" w:rsidRDefault="00E22A4B" w:rsidP="00E22A4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</w:t>
      </w:r>
      <w:r w:rsidRPr="00E22A4B">
        <w:rPr>
          <w:b/>
          <w:sz w:val="28"/>
          <w:szCs w:val="28"/>
          <w:lang w:val="sr-Cyrl-CS"/>
        </w:rPr>
        <w:t>2.3Остале активности</w:t>
      </w:r>
    </w:p>
    <w:p w:rsidR="00E22A4B" w:rsidRDefault="00E22A4B" w:rsidP="00E22A4B">
      <w:pPr>
        <w:ind w:left="720"/>
        <w:jc w:val="both"/>
        <w:rPr>
          <w:b/>
          <w:sz w:val="28"/>
          <w:szCs w:val="28"/>
          <w:lang w:val="sr-Cyrl-CS"/>
        </w:rPr>
      </w:pPr>
    </w:p>
    <w:p w:rsidR="00E22A4B" w:rsidRPr="001E6251" w:rsidRDefault="00E22A4B" w:rsidP="00E22A4B">
      <w:pPr>
        <w:pStyle w:val="ListParagraph"/>
        <w:jc w:val="both"/>
        <w:rPr>
          <w:b/>
          <w:sz w:val="36"/>
          <w:szCs w:val="36"/>
          <w:lang w:val="sr-Cyrl-CS"/>
        </w:rPr>
      </w:pPr>
      <w:r w:rsidRPr="001E6251">
        <w:rPr>
          <w:b/>
          <w:sz w:val="36"/>
          <w:szCs w:val="36"/>
          <w:lang w:val="sr-Cyrl-CS"/>
        </w:rPr>
        <w:t xml:space="preserve">                                                  </w:t>
      </w: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</w:rPr>
      </w:pPr>
    </w:p>
    <w:p w:rsidR="00E22A4B" w:rsidRPr="001E6251" w:rsidRDefault="00E22A4B" w:rsidP="00E22A4B">
      <w:pPr>
        <w:ind w:left="36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1E6251" w:rsidRDefault="00E22A4B" w:rsidP="00E22A4B">
      <w:pPr>
        <w:ind w:left="36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Default="00E22A4B" w:rsidP="00E22A4B">
      <w:pPr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1E6251" w:rsidRDefault="00E22A4B" w:rsidP="00E22A4B">
      <w:pPr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E22A4B" w:rsidRDefault="00E22A4B" w:rsidP="00E22A4B">
      <w:pPr>
        <w:pStyle w:val="ListParagraph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997228" w:rsidRDefault="00E22A4B" w:rsidP="00E22A4B">
      <w:pPr>
        <w:pStyle w:val="ListParagraph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997228">
        <w:rPr>
          <w:rFonts w:ascii="Arial" w:hAnsi="Arial" w:cs="Arial"/>
          <w:b/>
          <w:sz w:val="28"/>
          <w:szCs w:val="28"/>
          <w:lang w:val="sr-Cyrl-CS"/>
        </w:rPr>
        <w:t>УВОД</w:t>
      </w:r>
    </w:p>
    <w:p w:rsidR="00E22A4B" w:rsidRPr="00E22A4B" w:rsidRDefault="00E22A4B" w:rsidP="00E22A4B">
      <w:pPr>
        <w:jc w:val="both"/>
        <w:rPr>
          <w:rFonts w:ascii="Arial" w:hAnsi="Arial" w:cs="Arial"/>
          <w:sz w:val="28"/>
          <w:szCs w:val="28"/>
        </w:rPr>
      </w:pPr>
    </w:p>
    <w:p w:rsidR="00E22A4B" w:rsidRDefault="00E22A4B" w:rsidP="00E22A4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997228">
        <w:rPr>
          <w:rFonts w:ascii="Arial" w:hAnsi="Arial" w:cs="Arial"/>
          <w:sz w:val="28"/>
          <w:szCs w:val="28"/>
          <w:lang w:val="sr-Cyrl-CS"/>
        </w:rPr>
        <w:t>Полазне основе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Без обзира на све досадашње позитивне резултате које је Сигурна кућа остварила, установа ће и у наредној години наставити свој активан рад на побољшању како квалитета подршке женама и деци жртвама породичног насиља тако и на превенцији и подизању друштвене свести када је овај проблем у питању.</w:t>
      </w:r>
    </w:p>
    <w:p w:rsidR="00E22A4B" w:rsidRPr="00996AA6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Од великог је значаја доношење Закона о спречавању насиља у породици, као и измена и допуна Кривичног закона, јер то доприноси јачању улога организација и институција које се баве проблемом породичног насиља.</w:t>
      </w:r>
    </w:p>
    <w:p w:rsidR="00E22A4B" w:rsidRDefault="00E22A4B" w:rsidP="00E22A4B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997228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1.2 </w:t>
      </w:r>
      <w:r w:rsidRPr="00997228">
        <w:rPr>
          <w:rFonts w:ascii="Arial" w:hAnsi="Arial" w:cs="Arial"/>
          <w:sz w:val="28"/>
          <w:szCs w:val="28"/>
          <w:lang w:val="sr-Cyrl-CS"/>
        </w:rPr>
        <w:t>Циљ функционисања установе</w:t>
      </w:r>
    </w:p>
    <w:p w:rsidR="00E22A4B" w:rsidRPr="00636A1D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 xml:space="preserve">Сигурна кућа је у досадашњем раду пружила уточиште и подршку за преко 600 корисника,  омогућавајући жртавама породичног насиља </w:t>
      </w:r>
      <w:r>
        <w:rPr>
          <w:rFonts w:ascii="Arial" w:hAnsi="Arial" w:cs="Arial"/>
          <w:sz w:val="28"/>
          <w:szCs w:val="28"/>
          <w:lang w:val="sr-Cyrl-CS"/>
        </w:rPr>
        <w:t>опоравак од траума изазваних породичним насиљем и пружајући им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физичку</w:t>
      </w:r>
      <w:r>
        <w:rPr>
          <w:rFonts w:ascii="Arial" w:hAnsi="Arial" w:cs="Arial"/>
          <w:sz w:val="28"/>
          <w:szCs w:val="28"/>
          <w:lang w:val="sr-Cyrl-CS"/>
        </w:rPr>
        <w:t>, емотивну и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психолошку подршку</w:t>
      </w:r>
      <w:r>
        <w:rPr>
          <w:rFonts w:ascii="Arial" w:hAnsi="Arial" w:cs="Arial"/>
          <w:sz w:val="28"/>
          <w:szCs w:val="28"/>
          <w:lang w:val="sr-Cyrl-CS"/>
        </w:rPr>
        <w:t xml:space="preserve"> и сигурност. Корисницама је на располагању и  правна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помоћ у превазилажењу веза са насилником и заштити својих права, као и посебан рад са децом ради превазилажења траума и помоћи у учењу. </w:t>
      </w:r>
    </w:p>
    <w:p w:rsidR="00E22A4B" w:rsidRPr="00636A1D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Како би</w:t>
      </w:r>
      <w:r>
        <w:rPr>
          <w:rFonts w:ascii="Arial" w:hAnsi="Arial" w:cs="Arial"/>
          <w:sz w:val="28"/>
          <w:szCs w:val="28"/>
          <w:lang w:val="sr-Cyrl-CS"/>
        </w:rPr>
        <w:t xml:space="preserve"> оправдала сврху свог посотјања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>главни циљ функционисања Сигурне куће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и у наредном периоду биће:  </w:t>
      </w:r>
    </w:p>
    <w:p w:rsidR="00E22A4B" w:rsidRPr="00636A1D" w:rsidRDefault="00E22A4B" w:rsidP="00E22A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уклањање психолошких последица породичног насиља,</w:t>
      </w:r>
    </w:p>
    <w:p w:rsidR="00E22A4B" w:rsidRPr="00636A1D" w:rsidRDefault="00E22A4B" w:rsidP="00E22A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повећање базичне психолошке сигурности и самопоуздања,</w:t>
      </w:r>
    </w:p>
    <w:p w:rsidR="00E22A4B" w:rsidRPr="00636A1D" w:rsidRDefault="00E22A4B" w:rsidP="00E22A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овладавање стресом изазваним искусвом насиља у породици и</w:t>
      </w:r>
    </w:p>
    <w:p w:rsidR="00E22A4B" w:rsidRPr="00636A1D" w:rsidRDefault="00E22A4B" w:rsidP="00E22A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 xml:space="preserve">подизања нивоа личне компетенције. 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Pr="001F48C6" w:rsidRDefault="00E22A4B" w:rsidP="00E22A4B">
      <w:pPr>
        <w:ind w:left="720"/>
        <w:rPr>
          <w:rFonts w:ascii="Arial" w:hAnsi="Arial" w:cs="Arial"/>
          <w:b/>
          <w:sz w:val="28"/>
          <w:szCs w:val="28"/>
          <w:lang w:val="sr-Cyrl-CS"/>
        </w:rPr>
      </w:pPr>
    </w:p>
    <w:p w:rsidR="00E22A4B" w:rsidRPr="00E7355D" w:rsidRDefault="00E22A4B" w:rsidP="00E22A4B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E7355D">
        <w:rPr>
          <w:rFonts w:ascii="Arial" w:hAnsi="Arial" w:cs="Arial"/>
          <w:b/>
          <w:sz w:val="28"/>
          <w:szCs w:val="28"/>
          <w:lang w:val="sr-Cyrl-CS"/>
        </w:rPr>
        <w:t>ПРОГРАМСКЕ АКТИВНОСТИ</w:t>
      </w:r>
    </w:p>
    <w:p w:rsidR="00E22A4B" w:rsidRDefault="00E22A4B" w:rsidP="00E22A4B">
      <w:pPr>
        <w:pStyle w:val="ListParagraph"/>
        <w:ind w:left="1335"/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Pr="00E7355D" w:rsidRDefault="00E22A4B" w:rsidP="00E22A4B">
      <w:pPr>
        <w:ind w:left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2.1 </w:t>
      </w:r>
      <w:r w:rsidRPr="00E7355D">
        <w:rPr>
          <w:rFonts w:ascii="Arial" w:hAnsi="Arial" w:cs="Arial"/>
          <w:sz w:val="28"/>
          <w:szCs w:val="28"/>
          <w:lang w:val="sr-Cyrl-CS"/>
        </w:rPr>
        <w:t>Планиране активности</w:t>
      </w:r>
    </w:p>
    <w:p w:rsidR="00E22A4B" w:rsidRPr="00636A1D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 xml:space="preserve">Обављајући своју основну делтаност у смислу пружања уточишта жртвама, старања о њиховој безбендости и пружању психо – социјалне и правне подршке и помоћи, Сигурна кућа ће и наредне године наставити  са праксом организовања групних и индивидуалних едукативно – креативних радионица са корисницима  у циљу превазилажења криза. Едукативни и креативни </w:t>
      </w:r>
      <w:r>
        <w:rPr>
          <w:rFonts w:ascii="Arial" w:hAnsi="Arial" w:cs="Arial"/>
          <w:sz w:val="28"/>
          <w:szCs w:val="28"/>
          <w:lang w:val="sr-Cyrl-CS"/>
        </w:rPr>
        <w:t>рад доприносе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оснаживању жртава породичног насиља, јачајући њихову индивидуалну моћ, самопоуздање и контролу над сопственим животом.</w:t>
      </w:r>
    </w:p>
    <w:p w:rsidR="00E22A4B" w:rsidRPr="00636A1D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Проценти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показују да је међу жртвама породичног насиља</w:t>
      </w:r>
      <w:r>
        <w:rPr>
          <w:rFonts w:ascii="Arial" w:hAnsi="Arial" w:cs="Arial"/>
          <w:sz w:val="28"/>
          <w:szCs w:val="28"/>
          <w:lang w:val="sr-Cyrl-CS"/>
        </w:rPr>
        <w:t>,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које уточиште проналазе у Сигурној кући</w:t>
      </w:r>
      <w:r>
        <w:rPr>
          <w:rFonts w:ascii="Arial" w:hAnsi="Arial" w:cs="Arial"/>
          <w:sz w:val="28"/>
          <w:szCs w:val="28"/>
          <w:lang w:val="sr-Cyrl-CS"/>
        </w:rPr>
        <w:t>, највише корисница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са нижим степеном стручне спреме. </w:t>
      </w:r>
      <w:r>
        <w:rPr>
          <w:rFonts w:ascii="Arial" w:hAnsi="Arial" w:cs="Arial"/>
          <w:sz w:val="28"/>
          <w:szCs w:val="28"/>
          <w:lang w:val="sr-Cyrl-CS"/>
        </w:rPr>
        <w:t xml:space="preserve">Због свог економског статуса оне нису у стању да себи обезбеде независност, због чега се, у највећем броју случајева, након изласка из Сигурне куће враћају насилнику. 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Економска независност </w:t>
      </w:r>
      <w:r>
        <w:rPr>
          <w:rFonts w:ascii="Arial" w:hAnsi="Arial" w:cs="Arial"/>
          <w:sz w:val="28"/>
          <w:szCs w:val="28"/>
          <w:lang w:val="sr-Cyrl-CS"/>
        </w:rPr>
        <w:t xml:space="preserve">би им омогућила 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да доносе важне </w:t>
      </w:r>
      <w:r>
        <w:rPr>
          <w:rFonts w:ascii="Arial" w:hAnsi="Arial" w:cs="Arial"/>
          <w:sz w:val="28"/>
          <w:szCs w:val="28"/>
          <w:lang w:val="sr-Cyrl-CS"/>
        </w:rPr>
        <w:t xml:space="preserve">животне 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одлуке не зависећи од воље партнера, те ће Сигурна кућа уложити све напоре како би омогућила својим корисницама додатно професионално оспособљавање и доквалификацију, а како би им у сарадњи са друштвено одговорним фирмама и компанијама омогућила </w:t>
      </w:r>
      <w:r>
        <w:rPr>
          <w:rFonts w:ascii="Arial" w:hAnsi="Arial" w:cs="Arial"/>
          <w:sz w:val="28"/>
          <w:szCs w:val="28"/>
          <w:lang w:val="sr-Cyrl-CS"/>
        </w:rPr>
        <w:t xml:space="preserve">лакше 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проналажење запослења. 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 xml:space="preserve">Имајући у виду да су, ангажованим радом у протеклом периоду, створени сви потребни услови како би Сигурна кућа несметано обављала своју основну делатност, наредну годину обележиће превентивни рад на сузбијању породичног насиља. Наиме, гостовањем у медијима, одржавањем многобројних трибина, округлих столова и предавања, првенствено у институцијама образовања (факултетима и  средњим школама),   радиће се на промени </w:t>
      </w:r>
      <w:r w:rsidRPr="00636A1D">
        <w:rPr>
          <w:rFonts w:ascii="Arial" w:hAnsi="Arial" w:cs="Arial"/>
          <w:sz w:val="28"/>
          <w:szCs w:val="28"/>
          <w:lang w:val="sr-Cyrl-CS"/>
        </w:rPr>
        <w:lastRenderedPageBreak/>
        <w:t xml:space="preserve">доскорашњег друштвеног става да је породично насиље унутарпородични проблем, а не проблем друштва и институција. </w:t>
      </w:r>
    </w:p>
    <w:p w:rsidR="00E22A4B" w:rsidRPr="00636A1D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Наставиће се блиска сарадња са свим релевантним институцијама, владиним и невладиним организацијама, првенствено са полицијом, тужилаштвом и судством, како би се превентивним мерама предупредио и елиминисао овај облик насиља.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Pr="00997228" w:rsidRDefault="00E22A4B" w:rsidP="00E22A4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997228">
        <w:rPr>
          <w:rFonts w:ascii="Arial" w:hAnsi="Arial" w:cs="Arial"/>
          <w:sz w:val="28"/>
          <w:szCs w:val="28"/>
          <w:lang w:val="sr-Cyrl-CS"/>
        </w:rPr>
        <w:t>Пројектне активности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>Највећи број планираних активности за наредну годину биће посвећен превенцији породичног насиља</w:t>
      </w:r>
      <w:r>
        <w:rPr>
          <w:rFonts w:ascii="Arial" w:hAnsi="Arial" w:cs="Arial"/>
          <w:sz w:val="28"/>
          <w:szCs w:val="28"/>
          <w:lang w:val="sr-Cyrl-CS"/>
        </w:rPr>
        <w:t>, али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и економском оснаживању жртава, па </w:t>
      </w:r>
      <w:r>
        <w:rPr>
          <w:rFonts w:ascii="Arial" w:hAnsi="Arial" w:cs="Arial"/>
          <w:sz w:val="28"/>
          <w:szCs w:val="28"/>
          <w:lang w:val="sr-Cyrl-CS"/>
        </w:rPr>
        <w:t xml:space="preserve">је се у ту сврху планира аплицирање пројектима и сардања са иностраним међународним организацијама. 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636A1D">
        <w:rPr>
          <w:rFonts w:ascii="Arial" w:hAnsi="Arial" w:cs="Arial"/>
          <w:sz w:val="28"/>
          <w:szCs w:val="28"/>
          <w:lang w:val="sr-Cyrl-CS"/>
        </w:rPr>
        <w:t xml:space="preserve">Како би се заокружио четвророгодишњи процес стварња што бољих услова за боравак корисника у Сигурној кући, </w:t>
      </w:r>
      <w:r>
        <w:rPr>
          <w:rFonts w:ascii="Arial" w:hAnsi="Arial" w:cs="Arial"/>
          <w:sz w:val="28"/>
          <w:szCs w:val="28"/>
          <w:lang w:val="sr-Cyrl-CS"/>
        </w:rPr>
        <w:t xml:space="preserve">планира се аплицирање пројектом код „Нафтне индустрије Србије“ са </w:t>
      </w:r>
      <w:r w:rsidRPr="00636A1D">
        <w:rPr>
          <w:rFonts w:ascii="Arial" w:hAnsi="Arial" w:cs="Arial"/>
          <w:sz w:val="28"/>
          <w:szCs w:val="28"/>
          <w:lang w:val="sr-Cyrl-CS"/>
        </w:rPr>
        <w:t>циљ</w:t>
      </w:r>
      <w:r>
        <w:rPr>
          <w:rFonts w:ascii="Arial" w:hAnsi="Arial" w:cs="Arial"/>
          <w:sz w:val="28"/>
          <w:szCs w:val="28"/>
          <w:lang w:val="sr-Cyrl-CS"/>
        </w:rPr>
        <w:t>ем прибављања</w:t>
      </w:r>
      <w:r w:rsidRPr="00636A1D">
        <w:rPr>
          <w:rFonts w:ascii="Arial" w:hAnsi="Arial" w:cs="Arial"/>
          <w:sz w:val="28"/>
          <w:szCs w:val="28"/>
          <w:lang w:val="sr-Cyrl-CS"/>
        </w:rPr>
        <w:t xml:space="preserve"> средстава за набавку службеног возила, неопходног за нормално функционисање установе.</w:t>
      </w:r>
    </w:p>
    <w:p w:rsidR="00E22A4B" w:rsidRDefault="00E22A4B" w:rsidP="00E22A4B">
      <w:pPr>
        <w:pStyle w:val="ListParagraph"/>
        <w:ind w:left="405"/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Default="00E22A4B" w:rsidP="00E22A4B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Остале активности</w:t>
      </w:r>
    </w:p>
    <w:p w:rsidR="00E22A4B" w:rsidRDefault="00E22A4B" w:rsidP="00E22A4B">
      <w:pPr>
        <w:pStyle w:val="ListParagraph"/>
        <w:ind w:left="1335"/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Default="00E22A4B" w:rsidP="00E22A4B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sr-Cyrl-CS"/>
        </w:rPr>
      </w:pPr>
      <w:r w:rsidRPr="00C711E2">
        <w:rPr>
          <w:rFonts w:ascii="Arial" w:hAnsi="Arial" w:cs="Arial"/>
          <w:sz w:val="28"/>
          <w:szCs w:val="28"/>
          <w:lang w:val="sr-Cyrl-CS"/>
        </w:rPr>
        <w:t>Након спроведеног истраживања на тему „Млади и партнерско насиље“ и „Насиље над страрима“, у плану је да се у 2017.години одрже трибине на којима ће се дискутовати о односима и сарадњи између млађе и старије популације.</w:t>
      </w:r>
    </w:p>
    <w:p w:rsidR="00E22A4B" w:rsidRDefault="00E22A4B" w:rsidP="00E22A4B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Default="00E22A4B" w:rsidP="00E22A4B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Сигурна кућа ће у наредној години спровести ново истраживање из области родне равноправности и насиља у породици. Овога пута истраживачки рад биће на тему „Ставови мушкараца о позицији жена и квалитета брачног живота“. У плану је да се резултати истраживачког рада презентују 15. маја, за округлим столом у Медиа центру, када се иначе  обележава Међународни дан породице.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lastRenderedPageBreak/>
        <w:t>У складу са Правилником о лиценцирању организација социјалне заштите, у законском року поднет је захтев Инспекторату социјалне заштите у оквиру Министарства рада и социјалне политике за лиценцирање Сигурне куће као установе социјалне заштите. Предузете су све мере у прикупљању потребне документације и остваривању закоснких услова за рад, па се очекује да ће се поступак лиценцирања окончати почетком наредне године. Такође наставиће се процес едукације и усавршавања стручних радника Сигурне куће у раду са жртвама породичног насиља, кроз семинаре и акредитоване програме.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                        Директор</w:t>
      </w:r>
    </w:p>
    <w:p w:rsid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Pr="00E22A4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 дипл.психолог Соња Шћекић</w:t>
      </w:r>
    </w:p>
    <w:p w:rsidR="00E22A4B" w:rsidRPr="00B1433B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22A4B" w:rsidRPr="00934FCA" w:rsidRDefault="00E22A4B" w:rsidP="00E22A4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784846" w:rsidRDefault="00784846"/>
    <w:sectPr w:rsidR="00784846" w:rsidSect="00784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EC8"/>
    <w:multiLevelType w:val="multilevel"/>
    <w:tmpl w:val="0FB4AE4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0C682B40"/>
    <w:multiLevelType w:val="multilevel"/>
    <w:tmpl w:val="26947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DB822ED"/>
    <w:multiLevelType w:val="multilevel"/>
    <w:tmpl w:val="16400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079406A"/>
    <w:multiLevelType w:val="multilevel"/>
    <w:tmpl w:val="EBAA75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0531F46"/>
    <w:multiLevelType w:val="hybridMultilevel"/>
    <w:tmpl w:val="AB0440F6"/>
    <w:lvl w:ilvl="0" w:tplc="74E051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A4B"/>
    <w:rsid w:val="00784846"/>
    <w:rsid w:val="0092775D"/>
    <w:rsid w:val="009A2722"/>
    <w:rsid w:val="00E2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2017-03-01T09:57:00Z</dcterms:created>
  <dcterms:modified xsi:type="dcterms:W3CDTF">2017-03-01T10:14:00Z</dcterms:modified>
</cp:coreProperties>
</file>