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7" w:rsidRPr="00D66D70" w:rsidRDefault="00FD04D7" w:rsidP="00FD04D7">
      <w:pPr>
        <w:spacing w:after="0"/>
        <w:ind w:firstLine="720"/>
        <w:jc w:val="right"/>
        <w:rPr>
          <w:rFonts w:ascii="Arial" w:hAnsi="Arial" w:cs="Arial"/>
          <w:color w:val="FFFFFF" w:themeColor="background1"/>
          <w:lang w:val="sr-Cyrl-RS"/>
        </w:rPr>
      </w:pPr>
      <w:bookmarkStart w:id="0" w:name="_GoBack"/>
      <w:r w:rsidRPr="00D66D70">
        <w:rPr>
          <w:rFonts w:ascii="Arial" w:hAnsi="Arial" w:cs="Arial"/>
          <w:color w:val="FFFFFF" w:themeColor="background1"/>
          <w:lang w:val="sr-Cyrl-RS"/>
        </w:rPr>
        <w:t>Нацрт</w:t>
      </w:r>
    </w:p>
    <w:bookmarkEnd w:id="0"/>
    <w:p w:rsidR="00FD04D7" w:rsidRDefault="00FD04D7" w:rsidP="00FD04D7">
      <w:pPr>
        <w:spacing w:after="0"/>
        <w:ind w:firstLine="720"/>
        <w:jc w:val="right"/>
        <w:rPr>
          <w:rFonts w:ascii="Arial" w:hAnsi="Arial" w:cs="Arial"/>
          <w:lang w:val="sr-Cyrl-RS"/>
        </w:rPr>
      </w:pPr>
    </w:p>
    <w:p w:rsidR="0080341D" w:rsidRPr="00C90919" w:rsidRDefault="00E10725" w:rsidP="00747524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C90919">
        <w:rPr>
          <w:rFonts w:ascii="Arial" w:hAnsi="Arial" w:cs="Arial"/>
          <w:lang w:val="sr-Cyrl-RS"/>
        </w:rPr>
        <w:t>На основу члана 5.</w:t>
      </w:r>
      <w:r w:rsidR="00CB6675">
        <w:rPr>
          <w:rFonts w:ascii="Arial" w:hAnsi="Arial" w:cs="Arial"/>
          <w:lang w:val="sr-Cyrl-CS"/>
        </w:rPr>
        <w:t xml:space="preserve"> став 3. </w:t>
      </w:r>
      <w:r w:rsidRPr="00C90919">
        <w:rPr>
          <w:rFonts w:ascii="Arial" w:hAnsi="Arial" w:cs="Arial"/>
          <w:lang w:val="sr-Cyrl-RS"/>
        </w:rPr>
        <w:t xml:space="preserve">Закона о порезима на имовину (''Службени гласник РС'' број 26/2001, </w:t>
      </w:r>
      <w:r w:rsidR="00CB6675">
        <w:rPr>
          <w:rFonts w:ascii="Arial" w:hAnsi="Arial" w:cs="Arial"/>
          <w:lang w:val="sr-Cyrl-RS"/>
        </w:rPr>
        <w:t xml:space="preserve">45/2002, </w:t>
      </w:r>
      <w:r w:rsidRPr="00C90919">
        <w:rPr>
          <w:rFonts w:ascii="Arial" w:hAnsi="Arial" w:cs="Arial"/>
          <w:lang w:val="sr-Cyrl-RS"/>
        </w:rPr>
        <w:t xml:space="preserve">80/2002, 135/2004, 61/2007, 5/2009, 101/2010, 24/2011 </w:t>
      </w:r>
      <w:r w:rsidR="00CB6675">
        <w:rPr>
          <w:rFonts w:ascii="Arial" w:hAnsi="Arial" w:cs="Arial"/>
          <w:lang w:val="sr-Cyrl-RS"/>
        </w:rPr>
        <w:t>78/2011, 57/2012</w:t>
      </w:r>
      <w:r w:rsidR="00487220">
        <w:rPr>
          <w:rFonts w:ascii="Arial" w:hAnsi="Arial" w:cs="Arial"/>
          <w:lang w:val="sr-Cyrl-RS"/>
        </w:rPr>
        <w:t>-УС</w:t>
      </w:r>
      <w:r w:rsidR="00CB6675">
        <w:rPr>
          <w:rFonts w:ascii="Arial" w:hAnsi="Arial" w:cs="Arial"/>
          <w:lang w:val="sr-Cyrl-RS"/>
        </w:rPr>
        <w:t xml:space="preserve"> </w:t>
      </w:r>
      <w:r w:rsidRPr="00C90919">
        <w:rPr>
          <w:rFonts w:ascii="Arial" w:hAnsi="Arial" w:cs="Arial"/>
          <w:lang w:val="sr-Cyrl-RS"/>
        </w:rPr>
        <w:t>и 47/2013) и члана 37. Статута Града Ниша (''Службени лист Града Ниша'', број 88/2008)</w:t>
      </w:r>
      <w:r w:rsidR="0080341D" w:rsidRPr="00C90919">
        <w:rPr>
          <w:rFonts w:ascii="Arial" w:hAnsi="Arial" w:cs="Arial"/>
          <w:lang w:val="sr-Cyrl-RS"/>
        </w:rPr>
        <w:t>,</w:t>
      </w:r>
      <w:r w:rsidR="00747524">
        <w:rPr>
          <w:rFonts w:ascii="Arial" w:hAnsi="Arial" w:cs="Arial"/>
          <w:lang w:val="sr-Cyrl-RS"/>
        </w:rPr>
        <w:t xml:space="preserve"> </w:t>
      </w:r>
      <w:r w:rsidR="0080341D" w:rsidRPr="00C90919">
        <w:rPr>
          <w:rFonts w:ascii="Arial" w:hAnsi="Arial" w:cs="Arial"/>
          <w:lang w:val="sr-Cyrl-RS"/>
        </w:rPr>
        <w:t>Скупштина Града Ниша, на седници одржаној дана ___________2013.</w:t>
      </w:r>
      <w:r w:rsidR="00F277F6">
        <w:rPr>
          <w:rFonts w:ascii="Arial" w:hAnsi="Arial" w:cs="Arial"/>
          <w:lang w:val="sr-Cyrl-RS"/>
        </w:rPr>
        <w:t xml:space="preserve"> </w:t>
      </w:r>
      <w:r w:rsidR="0080341D" w:rsidRPr="00C90919">
        <w:rPr>
          <w:rFonts w:ascii="Arial" w:hAnsi="Arial" w:cs="Arial"/>
          <w:lang w:val="sr-Cyrl-RS"/>
        </w:rPr>
        <w:t>године, донела је:</w:t>
      </w:r>
    </w:p>
    <w:p w:rsidR="0080341D" w:rsidRDefault="0080341D" w:rsidP="0080341D">
      <w:pPr>
        <w:spacing w:after="0"/>
        <w:jc w:val="both"/>
        <w:rPr>
          <w:rFonts w:ascii="Arial" w:hAnsi="Arial" w:cs="Arial"/>
          <w:lang w:val="sr-Cyrl-RS"/>
        </w:rPr>
      </w:pPr>
    </w:p>
    <w:p w:rsidR="0080341D" w:rsidRPr="00596573" w:rsidRDefault="0080341D" w:rsidP="0080341D">
      <w:pPr>
        <w:spacing w:after="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596573">
        <w:rPr>
          <w:rFonts w:ascii="Arial" w:hAnsi="Arial" w:cs="Arial"/>
          <w:b/>
          <w:color w:val="000000" w:themeColor="text1"/>
          <w:lang w:val="sr-Cyrl-RS"/>
        </w:rPr>
        <w:t>О  Д  Л  У  К  У</w:t>
      </w:r>
    </w:p>
    <w:p w:rsidR="00596573" w:rsidRDefault="00596573" w:rsidP="0080341D">
      <w:pPr>
        <w:spacing w:after="0"/>
        <w:jc w:val="center"/>
        <w:rPr>
          <w:rFonts w:ascii="Arial" w:hAnsi="Arial" w:cs="Arial"/>
          <w:b/>
          <w:color w:val="000000" w:themeColor="text1"/>
          <w:lang w:val="sr-Cyrl-RS"/>
        </w:rPr>
      </w:pPr>
      <w:r>
        <w:rPr>
          <w:rFonts w:ascii="Arial" w:hAnsi="Arial" w:cs="Arial"/>
          <w:b/>
          <w:color w:val="000000" w:themeColor="text1"/>
          <w:lang w:val="sr-Cyrl-RS"/>
        </w:rPr>
        <w:t xml:space="preserve">О ВИСИНИ СТОПЕ АМОРТИЗАЦИЈЕ ЗА </w:t>
      </w:r>
    </w:p>
    <w:p w:rsidR="00B22B0E" w:rsidRPr="00C90919" w:rsidRDefault="00596573" w:rsidP="0080341D">
      <w:pPr>
        <w:spacing w:after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color w:val="000000" w:themeColor="text1"/>
          <w:lang w:val="sr-Cyrl-RS"/>
        </w:rPr>
        <w:t>УТВРЂИВАЊЕ ПОРЕЗА НА ИМОВИНУ</w:t>
      </w:r>
    </w:p>
    <w:p w:rsidR="00F942F5" w:rsidRPr="00C90919" w:rsidRDefault="00F942F5" w:rsidP="0080341D">
      <w:pPr>
        <w:spacing w:after="0"/>
        <w:jc w:val="both"/>
        <w:rPr>
          <w:rFonts w:ascii="Arial" w:hAnsi="Arial" w:cs="Arial"/>
          <w:lang w:val="sr-Cyrl-RS"/>
        </w:rPr>
      </w:pPr>
    </w:p>
    <w:p w:rsidR="0080341D" w:rsidRDefault="0080341D" w:rsidP="00C90919">
      <w:pPr>
        <w:spacing w:after="0"/>
        <w:jc w:val="center"/>
        <w:rPr>
          <w:rFonts w:ascii="Arial" w:hAnsi="Arial" w:cs="Arial"/>
          <w:b/>
          <w:lang w:val="sr-Cyrl-RS"/>
        </w:rPr>
      </w:pPr>
      <w:r w:rsidRPr="00C90919">
        <w:rPr>
          <w:rFonts w:ascii="Arial" w:hAnsi="Arial" w:cs="Arial"/>
          <w:b/>
          <w:lang w:val="sr-Cyrl-RS"/>
        </w:rPr>
        <w:t>Члан 1.</w:t>
      </w:r>
    </w:p>
    <w:p w:rsidR="0080341D" w:rsidRPr="00C90919" w:rsidRDefault="0080341D" w:rsidP="0080341D">
      <w:pPr>
        <w:spacing w:after="0"/>
        <w:jc w:val="both"/>
        <w:rPr>
          <w:rFonts w:ascii="Arial" w:hAnsi="Arial" w:cs="Arial"/>
          <w:lang w:val="sr-Cyrl-RS"/>
        </w:rPr>
      </w:pPr>
    </w:p>
    <w:p w:rsidR="0080341D" w:rsidRPr="00596573" w:rsidRDefault="00561268" w:rsidP="00B26259">
      <w:pPr>
        <w:spacing w:after="0"/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r w:rsidRPr="00596573">
        <w:rPr>
          <w:rFonts w:ascii="Arial" w:hAnsi="Arial" w:cs="Arial"/>
          <w:color w:val="000000" w:themeColor="text1"/>
          <w:lang w:val="sr-Cyrl-RS"/>
        </w:rPr>
        <w:t xml:space="preserve">Овом одлуком утврђује се </w:t>
      </w:r>
      <w:r w:rsidR="00596573" w:rsidRPr="00596573">
        <w:rPr>
          <w:rFonts w:ascii="Arial" w:hAnsi="Arial" w:cs="Arial"/>
          <w:color w:val="000000" w:themeColor="text1"/>
          <w:lang w:val="sr-Cyrl-RS"/>
        </w:rPr>
        <w:t xml:space="preserve"> висина </w:t>
      </w:r>
      <w:r w:rsidRPr="00596573">
        <w:rPr>
          <w:rFonts w:ascii="Arial" w:hAnsi="Arial" w:cs="Arial"/>
          <w:color w:val="000000" w:themeColor="text1"/>
          <w:lang w:val="sr-Cyrl-RS"/>
        </w:rPr>
        <w:t>стоп</w:t>
      </w:r>
      <w:r w:rsidR="00596573" w:rsidRPr="00596573">
        <w:rPr>
          <w:rFonts w:ascii="Arial" w:hAnsi="Arial" w:cs="Arial"/>
          <w:color w:val="000000" w:themeColor="text1"/>
          <w:lang w:val="sr-Cyrl-RS"/>
        </w:rPr>
        <w:t>е</w:t>
      </w:r>
      <w:r w:rsidRPr="00596573">
        <w:rPr>
          <w:rFonts w:ascii="Arial" w:hAnsi="Arial" w:cs="Arial"/>
          <w:color w:val="000000" w:themeColor="text1"/>
          <w:lang w:val="sr-Cyrl-RS"/>
        </w:rPr>
        <w:t xml:space="preserve"> амортизације за коју се умањује вредност непокретности, осим земљишта, која чини основицу</w:t>
      </w:r>
      <w:r w:rsidR="00596573" w:rsidRPr="00596573">
        <w:rPr>
          <w:rFonts w:ascii="Arial" w:hAnsi="Arial" w:cs="Arial"/>
          <w:color w:val="000000" w:themeColor="text1"/>
          <w:lang w:val="sr-Cyrl-RS"/>
        </w:rPr>
        <w:t xml:space="preserve"> за утврђивање пореза на имовину</w:t>
      </w:r>
      <w:r w:rsidRPr="00596573">
        <w:rPr>
          <w:rFonts w:ascii="Arial" w:hAnsi="Arial" w:cs="Arial"/>
          <w:color w:val="000000" w:themeColor="text1"/>
          <w:lang w:val="sr-Cyrl-RS"/>
        </w:rPr>
        <w:t xml:space="preserve"> обвезн</w:t>
      </w:r>
      <w:r w:rsidR="00FC712C" w:rsidRPr="00596573">
        <w:rPr>
          <w:rFonts w:ascii="Arial" w:hAnsi="Arial" w:cs="Arial"/>
          <w:color w:val="000000" w:themeColor="text1"/>
          <w:lang w:val="sr-Cyrl-RS"/>
        </w:rPr>
        <w:t>ика који не воде пословне књиге</w:t>
      </w:r>
      <w:r w:rsidR="000E2BEB">
        <w:rPr>
          <w:rFonts w:ascii="Arial" w:hAnsi="Arial" w:cs="Arial"/>
          <w:color w:val="000000" w:themeColor="text1"/>
          <w:lang w:val="sr-Cyrl-RS"/>
        </w:rPr>
        <w:t>,</w:t>
      </w:r>
      <w:r w:rsidR="00596573" w:rsidRPr="00596573">
        <w:rPr>
          <w:rFonts w:ascii="Arial" w:hAnsi="Arial" w:cs="Arial"/>
          <w:color w:val="000000" w:themeColor="text1"/>
          <w:lang w:val="sr-Cyrl-RS"/>
        </w:rPr>
        <w:t xml:space="preserve"> на територији Града Ниша</w:t>
      </w:r>
      <w:r w:rsidR="002E495E">
        <w:rPr>
          <w:rFonts w:ascii="Arial" w:hAnsi="Arial" w:cs="Arial"/>
          <w:color w:val="000000" w:themeColor="text1"/>
          <w:lang w:val="sr-Cyrl-RS"/>
        </w:rPr>
        <w:t>,</w:t>
      </w:r>
      <w:r w:rsidR="002E495E">
        <w:rPr>
          <w:rFonts w:ascii="Arial" w:hAnsi="Arial" w:cs="Arial"/>
          <w:color w:val="000000" w:themeColor="text1"/>
          <w:lang w:val="sr-Latn-CS"/>
        </w:rPr>
        <w:t xml:space="preserve"> </w:t>
      </w:r>
      <w:r w:rsidR="002E495E">
        <w:rPr>
          <w:rFonts w:ascii="Arial" w:hAnsi="Arial" w:cs="Arial"/>
          <w:color w:val="000000" w:themeColor="text1"/>
          <w:lang w:val="sr-Cyrl-CS"/>
        </w:rPr>
        <w:t>у износу од 0,8 % годишње.</w:t>
      </w:r>
    </w:p>
    <w:p w:rsidR="0080341D" w:rsidRPr="00C90919" w:rsidRDefault="0080341D" w:rsidP="0080341D">
      <w:pPr>
        <w:spacing w:after="0"/>
        <w:jc w:val="both"/>
        <w:rPr>
          <w:rFonts w:ascii="Arial" w:hAnsi="Arial" w:cs="Arial"/>
          <w:lang w:val="sr-Cyrl-RS"/>
        </w:rPr>
      </w:pPr>
    </w:p>
    <w:p w:rsidR="0080341D" w:rsidRDefault="00EA25F1" w:rsidP="00C90919">
      <w:pPr>
        <w:spacing w:after="0"/>
        <w:jc w:val="center"/>
        <w:rPr>
          <w:rFonts w:ascii="Arial" w:hAnsi="Arial" w:cs="Arial"/>
          <w:b/>
          <w:lang w:val="sr-Cyrl-RS"/>
        </w:rPr>
      </w:pPr>
      <w:r w:rsidRPr="00C90919">
        <w:rPr>
          <w:rFonts w:ascii="Arial" w:hAnsi="Arial" w:cs="Arial"/>
          <w:b/>
          <w:lang w:val="sr-Cyrl-RS"/>
        </w:rPr>
        <w:t>Ч</w:t>
      </w:r>
      <w:r w:rsidR="0080341D" w:rsidRPr="00C90919">
        <w:rPr>
          <w:rFonts w:ascii="Arial" w:hAnsi="Arial" w:cs="Arial"/>
          <w:b/>
          <w:lang w:val="sr-Cyrl-RS"/>
        </w:rPr>
        <w:t>лан 2.</w:t>
      </w:r>
    </w:p>
    <w:p w:rsidR="00F942F5" w:rsidRPr="00C90919" w:rsidRDefault="00F942F5" w:rsidP="00C90919">
      <w:pPr>
        <w:spacing w:after="0"/>
        <w:jc w:val="center"/>
        <w:rPr>
          <w:rFonts w:ascii="Arial" w:hAnsi="Arial" w:cs="Arial"/>
          <w:b/>
          <w:lang w:val="sr-Cyrl-RS"/>
        </w:rPr>
      </w:pPr>
    </w:p>
    <w:p w:rsidR="00EA25F1" w:rsidRDefault="00C80D73" w:rsidP="00B26259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В</w:t>
      </w:r>
      <w:r w:rsidR="00114436">
        <w:rPr>
          <w:rFonts w:ascii="Arial" w:hAnsi="Arial" w:cs="Arial"/>
          <w:lang w:val="sr-Cyrl-RS"/>
        </w:rPr>
        <w:t>редност непокретности</w:t>
      </w:r>
      <w:r w:rsidR="002E495E">
        <w:rPr>
          <w:rFonts w:ascii="Arial" w:hAnsi="Arial" w:cs="Arial"/>
          <w:lang w:val="sr-Cyrl-RS"/>
        </w:rPr>
        <w:t>, из члана 1. ове Одлуке</w:t>
      </w:r>
      <w:r w:rsidR="00B8619B">
        <w:rPr>
          <w:rFonts w:ascii="Arial" w:hAnsi="Arial" w:cs="Arial"/>
          <w:lang w:val="sr-Latn-CS"/>
        </w:rPr>
        <w:t>,</w:t>
      </w:r>
      <w:r w:rsidR="0011443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умањује се за проценат амортизације од </w:t>
      </w:r>
      <w:r w:rsidR="00114436">
        <w:rPr>
          <w:rFonts w:ascii="Arial" w:hAnsi="Arial" w:cs="Arial"/>
          <w:lang w:val="sr-Cyrl-RS"/>
        </w:rPr>
        <w:t xml:space="preserve"> 0</w:t>
      </w:r>
      <w:r>
        <w:rPr>
          <w:rFonts w:ascii="Arial" w:hAnsi="Arial" w:cs="Arial"/>
          <w:lang w:val="sr-Latn-CS"/>
        </w:rPr>
        <w:t>,</w:t>
      </w:r>
      <w:r w:rsidR="00114436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CS"/>
        </w:rPr>
        <w:t xml:space="preserve"> </w:t>
      </w:r>
      <w:r w:rsidR="00114436">
        <w:rPr>
          <w:rFonts w:ascii="Arial" w:hAnsi="Arial" w:cs="Arial"/>
          <w:lang w:val="sr-Cyrl-RS"/>
        </w:rPr>
        <w:t>% годишње, применом пропорционалне методе, а највише 40</w:t>
      </w:r>
      <w:r>
        <w:rPr>
          <w:rFonts w:ascii="Arial" w:hAnsi="Arial" w:cs="Arial"/>
          <w:lang w:val="sr-Latn-CS"/>
        </w:rPr>
        <w:t xml:space="preserve"> </w:t>
      </w:r>
      <w:r w:rsidR="00114436">
        <w:rPr>
          <w:rFonts w:ascii="Arial" w:hAnsi="Arial" w:cs="Arial"/>
          <w:lang w:val="sr-Cyrl-RS"/>
        </w:rPr>
        <w:t>%</w:t>
      </w:r>
      <w:r w:rsidR="008E03CF">
        <w:rPr>
          <w:rFonts w:ascii="Arial" w:hAnsi="Arial" w:cs="Arial"/>
          <w:lang w:val="sr-Cyrl-RS"/>
        </w:rPr>
        <w:t>, почев од истека сваке календарске године у односу на годину у којој је извршена изградња, односно последња реконструкција објекта.</w:t>
      </w:r>
    </w:p>
    <w:p w:rsidR="00596573" w:rsidRPr="00C90919" w:rsidRDefault="00596573" w:rsidP="00EA25F1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EA25F1" w:rsidRDefault="00EA25F1" w:rsidP="00C90919">
      <w:pPr>
        <w:spacing w:after="0"/>
        <w:ind w:left="60"/>
        <w:jc w:val="center"/>
        <w:rPr>
          <w:rFonts w:ascii="Arial" w:hAnsi="Arial" w:cs="Arial"/>
          <w:b/>
          <w:lang w:val="sr-Cyrl-RS"/>
        </w:rPr>
      </w:pPr>
      <w:r w:rsidRPr="00C90919">
        <w:rPr>
          <w:rFonts w:ascii="Arial" w:hAnsi="Arial" w:cs="Arial"/>
          <w:b/>
          <w:lang w:val="sr-Cyrl-RS"/>
        </w:rPr>
        <w:t>Члан 3.</w:t>
      </w:r>
    </w:p>
    <w:p w:rsidR="00A9266C" w:rsidRPr="00C90919" w:rsidRDefault="00A9266C" w:rsidP="00EA25F1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A9266C" w:rsidRPr="00C90919" w:rsidRDefault="00A9266C" w:rsidP="00B26259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C90919">
        <w:rPr>
          <w:rFonts w:ascii="Arial" w:hAnsi="Arial" w:cs="Arial"/>
          <w:lang w:val="sr-Cyrl-RS"/>
        </w:rPr>
        <w:t>Ов</w:t>
      </w:r>
      <w:r w:rsidR="00596573">
        <w:rPr>
          <w:rFonts w:ascii="Arial" w:hAnsi="Arial" w:cs="Arial"/>
          <w:lang w:val="sr-Cyrl-RS"/>
        </w:rPr>
        <w:t>у</w:t>
      </w:r>
      <w:r w:rsidRPr="00C90919">
        <w:rPr>
          <w:rFonts w:ascii="Arial" w:hAnsi="Arial" w:cs="Arial"/>
          <w:lang w:val="sr-Cyrl-RS"/>
        </w:rPr>
        <w:t xml:space="preserve"> Одлук</w:t>
      </w:r>
      <w:r w:rsidR="00596573">
        <w:rPr>
          <w:rFonts w:ascii="Arial" w:hAnsi="Arial" w:cs="Arial"/>
          <w:lang w:val="sr-Cyrl-RS"/>
        </w:rPr>
        <w:t>у</w:t>
      </w:r>
      <w:r w:rsidRPr="00C90919">
        <w:rPr>
          <w:rFonts w:ascii="Arial" w:hAnsi="Arial" w:cs="Arial"/>
          <w:lang w:val="sr-Cyrl-RS"/>
        </w:rPr>
        <w:t xml:space="preserve"> </w:t>
      </w:r>
      <w:r w:rsidR="00596573">
        <w:rPr>
          <w:rFonts w:ascii="Arial" w:hAnsi="Arial" w:cs="Arial"/>
          <w:lang w:val="sr-Cyrl-RS"/>
        </w:rPr>
        <w:t>објавити у „Службеном листу Града Ниша“ и</w:t>
      </w:r>
      <w:r w:rsidRPr="00C90919">
        <w:rPr>
          <w:rFonts w:ascii="Arial" w:hAnsi="Arial" w:cs="Arial"/>
          <w:lang w:val="sr-Cyrl-RS"/>
        </w:rPr>
        <w:t xml:space="preserve"> на интернет страни званичне презентација Града Ниша.</w:t>
      </w:r>
    </w:p>
    <w:p w:rsidR="00A9266C" w:rsidRPr="00C90919" w:rsidRDefault="00A9266C" w:rsidP="00EA25F1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A9266C" w:rsidRDefault="00596573" w:rsidP="00C90919">
      <w:pPr>
        <w:spacing w:after="0"/>
        <w:ind w:left="6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4</w:t>
      </w:r>
      <w:r w:rsidR="00A9266C" w:rsidRPr="00C90919">
        <w:rPr>
          <w:rFonts w:ascii="Arial" w:hAnsi="Arial" w:cs="Arial"/>
          <w:b/>
          <w:lang w:val="sr-Cyrl-RS"/>
        </w:rPr>
        <w:t>.</w:t>
      </w:r>
    </w:p>
    <w:p w:rsidR="00F942F5" w:rsidRPr="00C90919" w:rsidRDefault="00F942F5" w:rsidP="00C90919">
      <w:pPr>
        <w:spacing w:after="0"/>
        <w:ind w:left="60"/>
        <w:jc w:val="center"/>
        <w:rPr>
          <w:rFonts w:ascii="Arial" w:hAnsi="Arial" w:cs="Arial"/>
          <w:b/>
          <w:lang w:val="sr-Cyrl-RS"/>
        </w:rPr>
      </w:pPr>
    </w:p>
    <w:p w:rsidR="00A9266C" w:rsidRPr="00C90919" w:rsidRDefault="00A9266C" w:rsidP="00EA25F1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80341D" w:rsidRDefault="00A9266C" w:rsidP="00B26259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C90919">
        <w:rPr>
          <w:rFonts w:ascii="Arial" w:hAnsi="Arial" w:cs="Arial"/>
          <w:lang w:val="sr-Cyrl-RS"/>
        </w:rPr>
        <w:t>Ова одлука ступа на снагу</w:t>
      </w:r>
      <w:r w:rsidR="00C90919" w:rsidRPr="00C90919">
        <w:rPr>
          <w:rFonts w:ascii="Arial" w:hAnsi="Arial" w:cs="Arial"/>
          <w:lang w:val="sr-Cyrl-RS"/>
        </w:rPr>
        <w:t xml:space="preserve"> 8 дана од дана објављивања у ''Службеном листу Града Ниша'' а примењиваће се од 01.01.2014.</w:t>
      </w:r>
      <w:r w:rsidR="00F277F6">
        <w:rPr>
          <w:rFonts w:ascii="Arial" w:hAnsi="Arial" w:cs="Arial"/>
          <w:lang w:val="sr-Cyrl-RS"/>
        </w:rPr>
        <w:t xml:space="preserve"> </w:t>
      </w:r>
      <w:r w:rsidR="00C90919" w:rsidRPr="00C90919">
        <w:rPr>
          <w:rFonts w:ascii="Arial" w:hAnsi="Arial" w:cs="Arial"/>
          <w:lang w:val="sr-Cyrl-RS"/>
        </w:rPr>
        <w:t>године.</w:t>
      </w:r>
    </w:p>
    <w:p w:rsidR="00596573" w:rsidRDefault="00596573" w:rsidP="00C90919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152476" w:rsidRPr="00EF066D" w:rsidRDefault="00152476" w:rsidP="00152476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F066D">
        <w:rPr>
          <w:rFonts w:ascii="Times New Roman" w:hAnsi="Times New Roman" w:cs="Times New Roman"/>
          <w:b/>
          <w:bCs/>
          <w:color w:val="000000"/>
          <w:lang w:val="ru-RU"/>
        </w:rPr>
        <w:t>Б</w:t>
      </w:r>
      <w:r w:rsidRPr="00EF066D">
        <w:rPr>
          <w:rFonts w:ascii="Times New Roman" w:hAnsi="Times New Roman" w:cs="Times New Roman"/>
          <w:b/>
          <w:bCs/>
          <w:color w:val="000000"/>
        </w:rPr>
        <w:t xml:space="preserve">рој </w:t>
      </w:r>
      <w:r w:rsidRPr="00EF066D">
        <w:rPr>
          <w:rFonts w:ascii="Times New Roman" w:hAnsi="Times New Roman" w:cs="Times New Roman"/>
          <w:b/>
          <w:bCs/>
          <w:color w:val="000000"/>
          <w:lang w:val="ru-RU"/>
        </w:rPr>
        <w:t>:__________________</w:t>
      </w:r>
    </w:p>
    <w:p w:rsidR="00152476" w:rsidRDefault="00152476" w:rsidP="00152476">
      <w:pPr>
        <w:jc w:val="both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EF066D">
        <w:rPr>
          <w:rFonts w:ascii="Times New Roman" w:hAnsi="Times New Roman" w:cs="Times New Roman"/>
          <w:b/>
          <w:bCs/>
          <w:color w:val="000000"/>
        </w:rPr>
        <w:t xml:space="preserve">Датум : </w:t>
      </w:r>
      <w:r w:rsidRPr="00EF066D">
        <w:rPr>
          <w:rFonts w:ascii="Times New Roman" w:hAnsi="Times New Roman" w:cs="Times New Roman"/>
          <w:b/>
          <w:bCs/>
          <w:color w:val="000000"/>
          <w:lang w:val="sr-Cyrl-RS"/>
        </w:rPr>
        <w:t>________________</w:t>
      </w:r>
    </w:p>
    <w:p w:rsidR="00152476" w:rsidRPr="00EF066D" w:rsidRDefault="00152476" w:rsidP="00152476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F066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F066D">
        <w:rPr>
          <w:rFonts w:ascii="Times New Roman" w:hAnsi="Times New Roman" w:cs="Times New Roman"/>
          <w:b/>
          <w:bCs/>
          <w:color w:val="000000"/>
          <w:lang w:val="sr-Cyrl-RS"/>
        </w:rPr>
        <w:t xml:space="preserve">                                                   </w:t>
      </w:r>
      <w:r w:rsidRPr="00EF066D">
        <w:rPr>
          <w:rFonts w:ascii="Times New Roman" w:hAnsi="Times New Roman" w:cs="Times New Roman"/>
          <w:b/>
          <w:bCs/>
          <w:color w:val="000000"/>
          <w:lang w:val="ru-RU"/>
        </w:rPr>
        <w:t>СКУПШТИНА  ГРАДА  НИША</w:t>
      </w:r>
    </w:p>
    <w:p w:rsidR="00152476" w:rsidRPr="00A736CC" w:rsidRDefault="00152476" w:rsidP="00152476">
      <w:pPr>
        <w:jc w:val="right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52476" w:rsidRPr="00EF066D" w:rsidRDefault="00152476" w:rsidP="00152476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EF066D">
        <w:rPr>
          <w:rFonts w:ascii="Times New Roman" w:hAnsi="Times New Roman" w:cs="Times New Roman"/>
          <w:b/>
          <w:bCs/>
          <w:color w:val="000000"/>
        </w:rPr>
        <w:t>ПРЕДСЕДНИК СКУПШТИНЕ</w:t>
      </w:r>
    </w:p>
    <w:p w:rsidR="00152476" w:rsidRPr="00EF066D" w:rsidRDefault="00152476" w:rsidP="00152476">
      <w:pPr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EF066D">
        <w:rPr>
          <w:rFonts w:ascii="Times New Roman" w:hAnsi="Times New Roman" w:cs="Times New Roman"/>
          <w:b/>
          <w:bCs/>
          <w:color w:val="000000"/>
          <w:lang w:val="sr-Cyrl-RS"/>
        </w:rPr>
        <w:t xml:space="preserve">                                                                                                       Проф. др Миле Илић   </w:t>
      </w:r>
    </w:p>
    <w:p w:rsidR="00F942F5" w:rsidRPr="00F864AD" w:rsidRDefault="000B182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Latn-RS"/>
        </w:rPr>
        <w:lastRenderedPageBreak/>
        <w:t xml:space="preserve">  </w:t>
      </w:r>
    </w:p>
    <w:p w:rsidR="00F942F5" w:rsidRPr="00F864AD" w:rsidRDefault="00F942F5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F942F5" w:rsidRPr="00F864AD" w:rsidRDefault="00134C12" w:rsidP="00134C12">
      <w:pPr>
        <w:spacing w:after="0"/>
        <w:ind w:left="60"/>
        <w:jc w:val="center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>О Б Р А З Л О Ж Е Њ Е</w:t>
      </w: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F864AD" w:rsidRPr="00F864AD" w:rsidRDefault="00F864AD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134C12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>З</w:t>
      </w:r>
      <w:r w:rsidR="00840C40" w:rsidRPr="00F864AD">
        <w:rPr>
          <w:rFonts w:ascii="Arial" w:hAnsi="Arial" w:cs="Arial"/>
          <w:lang w:val="sr-Cyrl-CS"/>
        </w:rPr>
        <w:t>А</w:t>
      </w:r>
      <w:r w:rsidRPr="00F864AD">
        <w:rPr>
          <w:rFonts w:ascii="Arial" w:hAnsi="Arial" w:cs="Arial"/>
          <w:lang w:val="sr-Cyrl-CS"/>
        </w:rPr>
        <w:t>КОНСКИ ОСНОВ</w:t>
      </w:r>
    </w:p>
    <w:p w:rsidR="00134C12" w:rsidRPr="00F864AD" w:rsidRDefault="00134C12" w:rsidP="00134C12">
      <w:pPr>
        <w:spacing w:after="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134C12">
      <w:pPr>
        <w:spacing w:after="0"/>
        <w:ind w:firstLine="72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 xml:space="preserve">Законски основ за доношење ове одлуке је члан </w:t>
      </w:r>
      <w:r w:rsidRPr="00F864AD">
        <w:rPr>
          <w:rFonts w:ascii="Arial" w:hAnsi="Arial" w:cs="Arial"/>
          <w:lang w:val="sr-Cyrl-RS"/>
        </w:rPr>
        <w:t>5.</w:t>
      </w:r>
      <w:r w:rsidRPr="00F864AD">
        <w:rPr>
          <w:rFonts w:ascii="Arial" w:hAnsi="Arial" w:cs="Arial"/>
          <w:lang w:val="sr-Cyrl-CS"/>
        </w:rPr>
        <w:t xml:space="preserve"> </w:t>
      </w:r>
      <w:r w:rsidRPr="00F864AD">
        <w:rPr>
          <w:rFonts w:ascii="Arial" w:hAnsi="Arial" w:cs="Arial"/>
          <w:lang w:val="sr-Cyrl-RS"/>
        </w:rPr>
        <w:t>Закона о порезима на имовину (''Службени гласник РС'' број 26/2001, 45/2002, 80/2002, 135/2004, 61/2007, 5/2009, 101/2010, 24/2011 78/2011, 57/2012-УС и 47/2013).</w:t>
      </w:r>
    </w:p>
    <w:p w:rsidR="00134C12" w:rsidRDefault="00134C12" w:rsidP="00134C12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CS"/>
        </w:rPr>
        <w:t xml:space="preserve">Статутом Града Ниша,  у члану 37. став 1. тачка 7. </w:t>
      </w:r>
      <w:r w:rsidRPr="00F864AD">
        <w:rPr>
          <w:rFonts w:ascii="Arial" w:hAnsi="Arial" w:cs="Arial"/>
          <w:lang w:val="sr-Cyrl-RS"/>
        </w:rPr>
        <w:t>(''Службени лист Града Ниша'', број 88/2008), утврђена је надлежност Сгупштине Града Ниша за доношење прописа и других општих аката.</w:t>
      </w:r>
    </w:p>
    <w:p w:rsidR="00F864AD" w:rsidRPr="00F864AD" w:rsidRDefault="00F864AD" w:rsidP="00134C12">
      <w:pPr>
        <w:spacing w:after="0"/>
        <w:ind w:left="60" w:firstLine="66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40C40" w:rsidRPr="00F864AD" w:rsidRDefault="00840C40" w:rsidP="004B450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>РАЗЛОЗИ ЗА ДОНОШЕЊЕ ОДЛУКЕ</w:t>
      </w: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4B450E" w:rsidRPr="00F864AD" w:rsidRDefault="004B450E" w:rsidP="004B450E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RS"/>
        </w:rPr>
        <w:t>Последњим изменама Закона о порезима на имовину по први пут изостављена је обавезна примене амортизације у поступку утврђивања пореза на имовину на непокретностима. У свим ранијим законским прописима о порезима на имовину постојала је стопа амортизације у различитим износима и са различитим лимитима али је до ступања на снагу последњих измена Закона о порезу на имовину она би</w:t>
      </w:r>
      <w:r w:rsidR="00B77C10">
        <w:rPr>
          <w:rFonts w:ascii="Arial" w:hAnsi="Arial" w:cs="Arial"/>
          <w:lang w:val="sr-Cyrl-RS"/>
        </w:rPr>
        <w:t>ла 0,8% уз напомену да иста није</w:t>
      </w:r>
      <w:r w:rsidRPr="00F864AD">
        <w:rPr>
          <w:rFonts w:ascii="Arial" w:hAnsi="Arial" w:cs="Arial"/>
          <w:lang w:val="sr-Cyrl-RS"/>
        </w:rPr>
        <w:t xml:space="preserve"> већа  од 40%.</w:t>
      </w:r>
    </w:p>
    <w:p w:rsidR="004B450E" w:rsidRPr="00F864AD" w:rsidRDefault="004B450E" w:rsidP="004B450E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RS"/>
        </w:rPr>
        <w:t>Законом о изменема и допунама Закона о порезима на имовину које су објављене у ''Службеном гласнику РС'' број 47/2013, остављено је надлежним органима односно Скупштинама јединица локалне самоуправе да одлуче хоће ли својим пореским обвезницима признавати право на амортизацију и ако хоће оне то морају утврдити кроз поступак доношења Одлуке о стопи амортизације, с</w:t>
      </w:r>
      <w:r w:rsidR="00B77C10">
        <w:rPr>
          <w:rFonts w:ascii="Arial" w:hAnsi="Arial" w:cs="Arial"/>
          <w:lang w:val="sr-Cyrl-RS"/>
        </w:rPr>
        <w:t xml:space="preserve"> </w:t>
      </w:r>
      <w:r w:rsidRPr="00F864AD">
        <w:rPr>
          <w:rFonts w:ascii="Arial" w:hAnsi="Arial" w:cs="Arial"/>
          <w:lang w:val="sr-Cyrl-RS"/>
        </w:rPr>
        <w:t>тим што се та одлука мора донети</w:t>
      </w:r>
      <w:r w:rsidR="00B77C10">
        <w:rPr>
          <w:rFonts w:ascii="Arial" w:hAnsi="Arial" w:cs="Arial"/>
          <w:lang w:val="sr-Cyrl-RS"/>
        </w:rPr>
        <w:t xml:space="preserve"> до 30.новембра 2013. го</w:t>
      </w:r>
      <w:r w:rsidR="002D017C">
        <w:rPr>
          <w:rFonts w:ascii="Arial" w:hAnsi="Arial" w:cs="Arial"/>
          <w:lang w:val="sr-Cyrl-RS"/>
        </w:rPr>
        <w:t>дине</w:t>
      </w:r>
      <w:r w:rsidRPr="00F864AD">
        <w:rPr>
          <w:rFonts w:ascii="Arial" w:hAnsi="Arial" w:cs="Arial"/>
          <w:lang w:val="sr-Cyrl-RS"/>
        </w:rPr>
        <w:t xml:space="preserve"> и иста ступити на снагу пре 15.децембра 2013.</w:t>
      </w:r>
      <w:r w:rsidR="00F277F6">
        <w:rPr>
          <w:rFonts w:ascii="Arial" w:hAnsi="Arial" w:cs="Arial"/>
          <w:lang w:val="sr-Cyrl-RS"/>
        </w:rPr>
        <w:t xml:space="preserve"> </w:t>
      </w:r>
      <w:r w:rsidRPr="00F864AD">
        <w:rPr>
          <w:rFonts w:ascii="Arial" w:hAnsi="Arial" w:cs="Arial"/>
          <w:lang w:val="sr-Cyrl-RS"/>
        </w:rPr>
        <w:t>године, ако се жели применити у поступку утврђивања пореза на имовину за 2014.</w:t>
      </w:r>
      <w:r w:rsidR="00F277F6">
        <w:rPr>
          <w:rFonts w:ascii="Arial" w:hAnsi="Arial" w:cs="Arial"/>
          <w:lang w:val="sr-Cyrl-RS"/>
        </w:rPr>
        <w:t xml:space="preserve"> </w:t>
      </w:r>
      <w:r w:rsidRPr="00F864AD">
        <w:rPr>
          <w:rFonts w:ascii="Arial" w:hAnsi="Arial" w:cs="Arial"/>
          <w:lang w:val="sr-Cyrl-RS"/>
        </w:rPr>
        <w:t>годину.</w:t>
      </w:r>
    </w:p>
    <w:p w:rsidR="004B450E" w:rsidRPr="00F864AD" w:rsidRDefault="004B450E" w:rsidP="004B450E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RS"/>
        </w:rPr>
        <w:t>Закон је дао могућност Скупштинама јединица локалне самоуправе да могу вредност непокретности коју утврде сагласно Закону, осим за земљиште, умањити за амортизацију по стопи до 1% годишње применом пропорционалне методе, с тим што њен максимум не може прећи 40%.</w:t>
      </w:r>
    </w:p>
    <w:p w:rsidR="004B450E" w:rsidRPr="00F864AD" w:rsidRDefault="004B450E" w:rsidP="004B450E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RS"/>
        </w:rPr>
        <w:t>Такође је Закон прецизирао да се амортизација може примењивати почев од истека сваке календарске године у односу на годину у којој је непокретност која се опорезује изграђена, односно у односу на годину у којој је извршена последња реконструкција непокретности у висини стопе амортизације која важи на д</w:t>
      </w:r>
      <w:r w:rsidR="00B77C10">
        <w:rPr>
          <w:rFonts w:ascii="Arial" w:hAnsi="Arial" w:cs="Arial"/>
          <w:lang w:val="sr-Cyrl-RS"/>
        </w:rPr>
        <w:t>ан 15. децембра године која прет</w:t>
      </w:r>
      <w:r w:rsidRPr="00F864AD">
        <w:rPr>
          <w:rFonts w:ascii="Arial" w:hAnsi="Arial" w:cs="Arial"/>
          <w:lang w:val="sr-Cyrl-RS"/>
        </w:rPr>
        <w:t>ходи години за коју се утврђује порез на имовину.</w:t>
      </w:r>
    </w:p>
    <w:p w:rsidR="00134C12" w:rsidRPr="00F864AD" w:rsidRDefault="004B450E" w:rsidP="00CE371A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RS"/>
        </w:rPr>
        <w:t>Законом је прописано, да у случају ако Скупштина јединице локалне самоуправе не утврди висину  стопе амортизације и не објави одлуку у складу са истим, код утврђивања пореза на имовину вредност непокретности пореских обвезника који не воде пословне књиге (физичким лицима), не умањује се за амортизацију.</w:t>
      </w:r>
    </w:p>
    <w:p w:rsidR="004B450E" w:rsidRPr="00F864AD" w:rsidRDefault="004B450E" w:rsidP="004B450E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4B450E" w:rsidRPr="00F864AD" w:rsidRDefault="004B450E" w:rsidP="004B450E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4B450E" w:rsidRPr="00F864AD" w:rsidRDefault="004B450E" w:rsidP="004B450E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4B450E" w:rsidRPr="00F864AD" w:rsidRDefault="004B450E" w:rsidP="004B450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RS"/>
        </w:rPr>
        <w:lastRenderedPageBreak/>
        <w:t>АНАЛИЗА ЕФЕКАТА</w:t>
      </w: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Pr="00F864AD" w:rsidRDefault="00F864AD" w:rsidP="00F864AD">
      <w:pPr>
        <w:spacing w:after="0"/>
        <w:ind w:left="60" w:firstLine="66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>Ефекти који се очекују доношењем ове одлуке се огледају у реалнијем опорезивању старијих објеката, с обзиром да је новим законом укинута примена коефицијента квалитета у утврђивању пореске основице за порез на имовину физичких лица. Применом стопе амортизације избегава се једнако опорезивање старих и нових објеката, јер се пореска основца тј. вредност имовине,  код обвезник</w:t>
      </w:r>
      <w:r w:rsidR="00B77C10">
        <w:rPr>
          <w:rFonts w:ascii="Arial" w:hAnsi="Arial" w:cs="Arial"/>
          <w:lang w:val="sr-Cyrl-CS"/>
        </w:rPr>
        <w:t>а</w:t>
      </w:r>
      <w:r w:rsidRPr="00F864AD">
        <w:rPr>
          <w:rFonts w:ascii="Arial" w:hAnsi="Arial" w:cs="Arial"/>
          <w:lang w:val="sr-Cyrl-CS"/>
        </w:rPr>
        <w:t xml:space="preserve"> који не воде пословне књиге, утврђује на основу корисне површине  и просечне цене квадратног метра одговарајућих непокретности у зони у којиј се непокретност налази.</w:t>
      </w:r>
    </w:p>
    <w:p w:rsidR="00F864AD" w:rsidRPr="00F864AD" w:rsidRDefault="00F864AD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F864AD" w:rsidRPr="00F85F42" w:rsidRDefault="00F864AD" w:rsidP="00F85F42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r-Cyrl-RS"/>
        </w:rPr>
      </w:pPr>
      <w:r w:rsidRPr="00F85F42">
        <w:rPr>
          <w:rFonts w:ascii="Arial" w:hAnsi="Arial" w:cs="Arial"/>
          <w:lang w:val="sr-Cyrl-RS"/>
        </w:rPr>
        <w:t xml:space="preserve">ФИНАНСИЈСКА СРЕДСТВА ПОТРЕБНА ЗА СПРОВОЂЕЊЕ ОВЕ ОДЛУКЕ </w:t>
      </w:r>
    </w:p>
    <w:p w:rsidR="00F864AD" w:rsidRPr="00F864AD" w:rsidRDefault="00F864AD" w:rsidP="00F864AD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F864AD" w:rsidRPr="00F864AD" w:rsidRDefault="00F864AD" w:rsidP="00F864AD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RS"/>
        </w:rPr>
        <w:t xml:space="preserve"> За спровођење ове одлуке није потребно обезбедити додатна средства у буџету Града Ниша.</w:t>
      </w:r>
    </w:p>
    <w:p w:rsidR="00F864AD" w:rsidRPr="00F864AD" w:rsidRDefault="00F864AD" w:rsidP="00F864AD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F864AD" w:rsidRPr="00F864AD" w:rsidRDefault="00F864AD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53113" w:rsidRDefault="00153113" w:rsidP="00153113">
      <w:pPr>
        <w:spacing w:after="0"/>
        <w:ind w:left="6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УПРАВА ЗА ФИНАНСИЈЕ, ИЗВОРНЕ ПРИХОДЕ ЛОКАЛНЕ </w:t>
      </w:r>
    </w:p>
    <w:p w:rsidR="00153113" w:rsidRPr="00BA6B09" w:rsidRDefault="00153113" w:rsidP="00153113">
      <w:pPr>
        <w:spacing w:after="0"/>
        <w:ind w:left="6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САМОУПРАВЕ И ЈАВНЕ НАБАВКЕ </w:t>
      </w:r>
    </w:p>
    <w:p w:rsidR="00153113" w:rsidRPr="00BA6B09" w:rsidRDefault="00153113" w:rsidP="00153113">
      <w:pPr>
        <w:spacing w:after="0"/>
        <w:ind w:left="60"/>
        <w:jc w:val="center"/>
        <w:rPr>
          <w:rFonts w:ascii="Arial" w:hAnsi="Arial" w:cs="Arial"/>
          <w:lang w:val="sr-Cyrl-RS"/>
        </w:rPr>
      </w:pPr>
    </w:p>
    <w:p w:rsidR="00153113" w:rsidRPr="00BA6B09" w:rsidRDefault="00153113" w:rsidP="00153113">
      <w:pPr>
        <w:spacing w:after="0"/>
        <w:ind w:left="60"/>
        <w:jc w:val="center"/>
        <w:rPr>
          <w:rFonts w:ascii="Arial" w:hAnsi="Arial" w:cs="Arial"/>
          <w:lang w:val="sr-Cyrl-RS"/>
        </w:rPr>
      </w:pPr>
    </w:p>
    <w:p w:rsidR="00153113" w:rsidRDefault="00153113" w:rsidP="00153113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53113" w:rsidRDefault="00153113" w:rsidP="00153113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НАЧЕЛНИК,</w:t>
      </w:r>
    </w:p>
    <w:p w:rsidR="00153113" w:rsidRDefault="00153113" w:rsidP="00153113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53113" w:rsidRDefault="00153113" w:rsidP="00153113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D84906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Миљан Стевановић</w:t>
      </w:r>
    </w:p>
    <w:p w:rsidR="00153113" w:rsidRDefault="00153113" w:rsidP="00153113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53113" w:rsidRDefault="00153113" w:rsidP="00153113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Pr="00F864AD" w:rsidRDefault="00134C12" w:rsidP="00C90919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34C12" w:rsidRDefault="00134C12" w:rsidP="00C90919">
      <w:pPr>
        <w:spacing w:after="0"/>
        <w:ind w:left="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942F5" w:rsidRDefault="00F942F5" w:rsidP="00C90919">
      <w:pPr>
        <w:spacing w:after="0"/>
        <w:ind w:left="6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F942F5" w:rsidSect="00472BB0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B93"/>
    <w:multiLevelType w:val="hybridMultilevel"/>
    <w:tmpl w:val="9866F028"/>
    <w:lvl w:ilvl="0" w:tplc="74102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0747"/>
    <w:multiLevelType w:val="hybridMultilevel"/>
    <w:tmpl w:val="1DE2EED6"/>
    <w:lvl w:ilvl="0" w:tplc="DC72BE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0AB55A9"/>
    <w:multiLevelType w:val="hybridMultilevel"/>
    <w:tmpl w:val="186EA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C100B"/>
    <w:multiLevelType w:val="hybridMultilevel"/>
    <w:tmpl w:val="251878C2"/>
    <w:lvl w:ilvl="0" w:tplc="0FC41C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25"/>
    <w:rsid w:val="000B1822"/>
    <w:rsid w:val="000C07CB"/>
    <w:rsid w:val="000E2BEB"/>
    <w:rsid w:val="000F076B"/>
    <w:rsid w:val="000F270F"/>
    <w:rsid w:val="00114436"/>
    <w:rsid w:val="00134C12"/>
    <w:rsid w:val="00152476"/>
    <w:rsid w:val="00153113"/>
    <w:rsid w:val="00161893"/>
    <w:rsid w:val="00213DE1"/>
    <w:rsid w:val="0022557F"/>
    <w:rsid w:val="00243225"/>
    <w:rsid w:val="002D017C"/>
    <w:rsid w:val="002E495E"/>
    <w:rsid w:val="002E4F17"/>
    <w:rsid w:val="00302804"/>
    <w:rsid w:val="00397CC3"/>
    <w:rsid w:val="003C3AA4"/>
    <w:rsid w:val="00472BB0"/>
    <w:rsid w:val="00487220"/>
    <w:rsid w:val="004B450E"/>
    <w:rsid w:val="004F0142"/>
    <w:rsid w:val="00561268"/>
    <w:rsid w:val="00596573"/>
    <w:rsid w:val="006261FE"/>
    <w:rsid w:val="00634321"/>
    <w:rsid w:val="00707397"/>
    <w:rsid w:val="00743779"/>
    <w:rsid w:val="00747524"/>
    <w:rsid w:val="00763432"/>
    <w:rsid w:val="007B2263"/>
    <w:rsid w:val="0080341D"/>
    <w:rsid w:val="00840C40"/>
    <w:rsid w:val="00854A07"/>
    <w:rsid w:val="00870839"/>
    <w:rsid w:val="008E03CF"/>
    <w:rsid w:val="00906D53"/>
    <w:rsid w:val="00A9266C"/>
    <w:rsid w:val="00B22B0E"/>
    <w:rsid w:val="00B26259"/>
    <w:rsid w:val="00B77C10"/>
    <w:rsid w:val="00B8619B"/>
    <w:rsid w:val="00C15269"/>
    <w:rsid w:val="00C320AD"/>
    <w:rsid w:val="00C80D73"/>
    <w:rsid w:val="00C82E5F"/>
    <w:rsid w:val="00C90919"/>
    <w:rsid w:val="00CB6675"/>
    <w:rsid w:val="00CC384F"/>
    <w:rsid w:val="00CD68CF"/>
    <w:rsid w:val="00CE2DED"/>
    <w:rsid w:val="00CE371A"/>
    <w:rsid w:val="00D66D70"/>
    <w:rsid w:val="00D74E27"/>
    <w:rsid w:val="00D84906"/>
    <w:rsid w:val="00D84A1B"/>
    <w:rsid w:val="00E02850"/>
    <w:rsid w:val="00E10725"/>
    <w:rsid w:val="00E45150"/>
    <w:rsid w:val="00EA25F1"/>
    <w:rsid w:val="00EC0A5F"/>
    <w:rsid w:val="00EE5CB6"/>
    <w:rsid w:val="00EF73D3"/>
    <w:rsid w:val="00F277F6"/>
    <w:rsid w:val="00F36196"/>
    <w:rsid w:val="00F85F42"/>
    <w:rsid w:val="00F864AD"/>
    <w:rsid w:val="00F942F5"/>
    <w:rsid w:val="00FC712C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Živković</dc:creator>
  <cp:keywords/>
  <dc:description/>
  <cp:lastModifiedBy>Brankica Vukić</cp:lastModifiedBy>
  <cp:revision>4</cp:revision>
  <cp:lastPrinted>2013-10-29T16:33:00Z</cp:lastPrinted>
  <dcterms:created xsi:type="dcterms:W3CDTF">2013-11-07T13:35:00Z</dcterms:created>
  <dcterms:modified xsi:type="dcterms:W3CDTF">2013-11-23T15:14:00Z</dcterms:modified>
</cp:coreProperties>
</file>