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</w:p>
    <w:p w:rsidR="005A6BC4" w:rsidRDefault="005A6BC4" w:rsidP="00B85E1E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lang w:val="sr-Cyrl-CS"/>
        </w:rPr>
        <w:t xml:space="preserve">ОБРАЗЛОЖЕЊЕ 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br/>
        <w:t xml:space="preserve">ПЛАНА ГЕНЕРАЛНЕ РЕГУЛАЦИЈЕ 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br/>
        <w:t xml:space="preserve">ПОДРУЧЈА ГРАДСКЕ ОПШТИНЕ ПАНТЕЛЕЈ 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br/>
        <w:t>- ЧЕТВРТА ФАЗА СЕВЕР</w:t>
      </w:r>
    </w:p>
    <w:p w:rsidR="005A6BC4" w:rsidRPr="005A6BC4" w:rsidRDefault="00B85E1E" w:rsidP="00B85E1E">
      <w:pPr>
        <w:pStyle w:val="ListParagraph"/>
        <w:spacing w:before="60"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noProof/>
          <w:lang w:val="sr-Cyrl-CS"/>
        </w:rPr>
      </w:pPr>
      <w:r>
        <w:rPr>
          <w:rFonts w:ascii="Times New Roman" w:eastAsia="Times New Roman" w:hAnsi="Times New Roman" w:cs="Times New Roman"/>
          <w:b/>
          <w:noProof/>
          <w:lang w:val="sr-Cyrl-CS"/>
        </w:rPr>
        <w:t>-</w:t>
      </w:r>
      <w:r w:rsidR="005A6BC4">
        <w:rPr>
          <w:rFonts w:ascii="Times New Roman" w:eastAsia="Times New Roman" w:hAnsi="Times New Roman" w:cs="Times New Roman"/>
          <w:b/>
          <w:noProof/>
          <w:lang w:val="sr-Cyrl-CS"/>
        </w:rPr>
        <w:t>МАТЕРИЈАЛ ЗА РАНИ ЈАВНИ УВИД</w:t>
      </w:r>
      <w:r>
        <w:rPr>
          <w:rFonts w:ascii="Times New Roman" w:eastAsia="Times New Roman" w:hAnsi="Times New Roman" w:cs="Times New Roman"/>
          <w:b/>
          <w:noProof/>
          <w:lang w:val="sr-Cyrl-CS"/>
        </w:rPr>
        <w:t>-</w:t>
      </w: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</w:p>
    <w:p w:rsidR="00000000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 w:rsidRPr="00591175">
        <w:rPr>
          <w:rFonts w:ascii="Times New Roman" w:eastAsia="Times New Roman" w:hAnsi="Times New Roman" w:cs="Times New Roman"/>
          <w:noProof/>
          <w:lang w:val="sr-Cyrl-CS"/>
        </w:rPr>
        <w:t>План генералне регулације подручја градске општине Пантелеј-четврта фаза</w:t>
      </w:r>
      <w:r>
        <w:rPr>
          <w:rFonts w:ascii="Times New Roman" w:eastAsia="Times New Roman" w:hAnsi="Times New Roman"/>
          <w:noProof/>
        </w:rPr>
        <w:t xml:space="preserve"> 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север, у даљем тексту: </w:t>
      </w:r>
      <w:r w:rsidRPr="00591175">
        <w:rPr>
          <w:rFonts w:ascii="Times New Roman" w:eastAsia="Times New Roman" w:hAnsi="Times New Roman" w:cs="Times New Roman"/>
          <w:noProof/>
        </w:rPr>
        <w:t>„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>План“, се ради на основу Одлуке о изради Плана генералне регулације подручја градске општине Пантелеј - четврта фаза север („Службени лист Града Ниша“, бр.53/15)</w:t>
      </w:r>
      <w:r w:rsidRPr="00591175">
        <w:rPr>
          <w:rFonts w:ascii="Times New Roman" w:eastAsia="Times New Roman" w:hAnsi="Times New Roman" w:cs="Times New Roman"/>
          <w:lang w:val="ru-RU"/>
        </w:rPr>
        <w:t xml:space="preserve">, 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>Закона о планирању и изградњи („Сл</w:t>
      </w:r>
      <w:r w:rsidRPr="00591175">
        <w:rPr>
          <w:rFonts w:ascii="Times New Roman" w:eastAsia="Times New Roman" w:hAnsi="Times New Roman" w:cs="Times New Roman"/>
          <w:lang w:val="sr-Cyrl-CS"/>
        </w:rPr>
        <w:t>ужбени г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ласник РС“, </w:t>
      </w:r>
      <w:r w:rsidRPr="00591175">
        <w:rPr>
          <w:rFonts w:ascii="Times New Roman" w:eastAsia="Times New Roman" w:hAnsi="Times New Roman" w:cs="Times New Roman"/>
          <w:noProof/>
        </w:rPr>
        <w:t>бр.</w:t>
      </w:r>
      <w:r w:rsidRPr="00591175">
        <w:rPr>
          <w:rFonts w:ascii="Times New Roman" w:eastAsia="Times New Roman" w:hAnsi="Times New Roman" w:cs="Times New Roman"/>
          <w:lang w:val="sr-Cyrl-CS"/>
        </w:rPr>
        <w:t>72/09</w:t>
      </w:r>
      <w:r w:rsidRPr="00591175">
        <w:rPr>
          <w:rFonts w:ascii="Times New Roman" w:eastAsia="Times New Roman" w:hAnsi="Times New Roman" w:cs="Times New Roman"/>
        </w:rPr>
        <w:t xml:space="preserve">, </w:t>
      </w:r>
      <w:r w:rsidRPr="00591175">
        <w:rPr>
          <w:rFonts w:ascii="Times New Roman" w:eastAsia="Times New Roman" w:hAnsi="Times New Roman" w:cs="Times New Roman"/>
          <w:lang w:val="sr-Cyrl-CS"/>
        </w:rPr>
        <w:t>81/09-исправка</w:t>
      </w:r>
      <w:r w:rsidRPr="00591175">
        <w:rPr>
          <w:rFonts w:ascii="Times New Roman" w:eastAsia="Times New Roman" w:hAnsi="Times New Roman" w:cs="Times New Roman"/>
          <w:lang w:val="ru-RU"/>
        </w:rPr>
        <w:t>,64/10</w:t>
      </w:r>
      <w:r w:rsidRPr="00591175">
        <w:rPr>
          <w:rFonts w:ascii="Times New Roman" w:eastAsia="Times New Roman" w:hAnsi="Times New Roman" w:cs="Times New Roman"/>
          <w:lang w:val="sr-Cyrl-CS"/>
        </w:rPr>
        <w:t>-одлука УС</w:t>
      </w:r>
      <w:r w:rsidRPr="00591175">
        <w:rPr>
          <w:rFonts w:ascii="Times New Roman" w:eastAsia="Times New Roman" w:hAnsi="Times New Roman" w:cs="Times New Roman"/>
          <w:lang w:val="ru-RU"/>
        </w:rPr>
        <w:t>,</w:t>
      </w:r>
      <w:r w:rsidRPr="00591175">
        <w:rPr>
          <w:rFonts w:ascii="Times New Roman" w:eastAsia="Times New Roman" w:hAnsi="Times New Roman" w:cs="Times New Roman"/>
          <w:lang w:val="sr-Cyrl-CS"/>
        </w:rPr>
        <w:t xml:space="preserve"> 24/11,121/12-одлука УС, 42/13-одлука УС</w:t>
      </w:r>
      <w:r w:rsidRPr="00591175">
        <w:rPr>
          <w:rFonts w:ascii="Times New Roman" w:eastAsia="Times New Roman" w:hAnsi="Times New Roman" w:cs="Times New Roman"/>
        </w:rPr>
        <w:t>,</w:t>
      </w:r>
      <w:r w:rsidRPr="00591175">
        <w:rPr>
          <w:rFonts w:ascii="Times New Roman" w:eastAsia="Times New Roman" w:hAnsi="Times New Roman" w:cs="Times New Roman"/>
          <w:lang w:val="sr-Cyrl-CS"/>
        </w:rPr>
        <w:t xml:space="preserve"> 50/13-одлука УС</w:t>
      </w:r>
      <w:r w:rsidRPr="00591175">
        <w:rPr>
          <w:rFonts w:ascii="Times New Roman" w:eastAsia="Times New Roman" w:hAnsi="Times New Roman" w:cs="Times New Roman"/>
        </w:rPr>
        <w:t xml:space="preserve">, 98/13-одлука УС, </w:t>
      </w:r>
      <w:r w:rsidRPr="00591175">
        <w:rPr>
          <w:rFonts w:ascii="Times New Roman" w:eastAsia="Times New Roman" w:hAnsi="Times New Roman" w:cs="Times New Roman"/>
          <w:noProof/>
        </w:rPr>
        <w:t>132/14 и 145/14),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</w:rPr>
        <w:t>у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</w:rPr>
        <w:t>даљем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</w:rPr>
        <w:t>тексту</w:t>
      </w:r>
      <w:r w:rsidRPr="00591175">
        <w:rPr>
          <w:rFonts w:ascii="Times New Roman" w:eastAsia="Times New Roman" w:hAnsi="Times New Roman" w:cs="Times New Roman"/>
          <w:noProof/>
        </w:rPr>
        <w:t>: „</w:t>
      </w:r>
      <w:r w:rsidRPr="00591175">
        <w:rPr>
          <w:rFonts w:ascii="Times New Roman" w:eastAsia="Times New Roman" w:hAnsi="Times New Roman" w:cs="Times New Roman" w:hint="eastAsia"/>
          <w:noProof/>
        </w:rPr>
        <w:t>Закон</w:t>
      </w:r>
      <w:r w:rsidRPr="00591175">
        <w:rPr>
          <w:rFonts w:ascii="Times New Roman" w:eastAsia="Times New Roman" w:hAnsi="Times New Roman" w:cs="Times New Roman"/>
          <w:noProof/>
        </w:rPr>
        <w:t>“</w:t>
      </w:r>
      <w:r w:rsidRPr="00591175">
        <w:rPr>
          <w:rFonts w:ascii="Times New Roman" w:eastAsia="Times New Roman" w:hAnsi="Times New Roman" w:cs="Times New Roman"/>
          <w:lang w:val="sr-Cyrl-CS"/>
        </w:rPr>
        <w:t xml:space="preserve"> и 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>Правилника о садржини, начину и поступку израде докумената просторног и урбанистичког планирања („Службени гласник РС“,</w:t>
      </w:r>
      <w:r>
        <w:rPr>
          <w:rFonts w:ascii="Times New Roman" w:eastAsia="Times New Roman" w:hAnsi="Times New Roman" w:cs="Times New Roman"/>
          <w:noProof/>
          <w:lang w:val="sr-Cyrl-CS"/>
        </w:rPr>
        <w:t xml:space="preserve"> бр. 64/15), у даљем тексту: 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>„</w:t>
      </w:r>
      <w:r>
        <w:rPr>
          <w:rFonts w:ascii="Times New Roman" w:eastAsia="Times New Roman" w:hAnsi="Times New Roman" w:cs="Times New Roman"/>
          <w:noProof/>
          <w:lang w:val="sr-Cyrl-CS"/>
        </w:rPr>
        <w:t>Правилник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>“</w:t>
      </w: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CTimesRoman"/>
          <w:lang w:eastAsia="sr-Latn-CS"/>
        </w:rPr>
      </w:pP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Носилац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израде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Плана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Управа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планирање</w:t>
      </w:r>
      <w:proofErr w:type="spellEnd"/>
      <w:r w:rsidRPr="00591175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изградњу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Града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Ни</w:t>
      </w:r>
      <w:proofErr w:type="spellEnd"/>
      <w:r w:rsidRPr="00591175">
        <w:rPr>
          <w:rFonts w:ascii="Times New Roman" w:eastAsia="Times New Roman" w:hAnsi="Times New Roman" w:cs="Times New Roman"/>
          <w:color w:val="000000"/>
          <w:lang w:val="sr-Cyrl-CS"/>
        </w:rPr>
        <w:t>ш</w:t>
      </w:r>
      <w:r w:rsidRPr="00591175">
        <w:rPr>
          <w:rFonts w:ascii="Times New Roman" w:eastAsia="Times New Roman" w:hAnsi="Times New Roman" w:cs="Times New Roman"/>
          <w:color w:val="000000"/>
        </w:rPr>
        <w:t xml:space="preserve">а. </w:t>
      </w:r>
      <w:r w:rsidRPr="00591175">
        <w:rPr>
          <w:rFonts w:ascii="Times New Roman" w:eastAsia="Times New Roman" w:hAnsi="Times New Roman" w:cs="Times New Roman"/>
          <w:color w:val="000000"/>
          <w:lang w:val="sr-Cyrl-CS"/>
        </w:rPr>
        <w:t>И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зрада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Плана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је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поверена</w:t>
      </w:r>
      <w:proofErr w:type="spellEnd"/>
      <w:r w:rsidRPr="00591175">
        <w:rPr>
          <w:rFonts w:ascii="Times New Roman" w:eastAsia="Times New Roman" w:hAnsi="Times New Roman" w:cs="Times New Roman"/>
          <w:color w:val="000000"/>
        </w:rPr>
        <w:t xml:space="preserve"> ЈП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Завод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урбанизам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Ниш</w:t>
      </w:r>
      <w:proofErr w:type="spellEnd"/>
      <w:r w:rsidRPr="00591175">
        <w:rPr>
          <w:rFonts w:ascii="Times New Roman" w:eastAsia="Times New Roman" w:hAnsi="Times New Roman" w:cs="Times New Roman"/>
          <w:color w:val="000000"/>
        </w:rPr>
        <w:t xml:space="preserve">, а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средства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израду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Плана</w:t>
      </w:r>
      <w:proofErr w:type="spellEnd"/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proofErr w:type="spellStart"/>
      <w:r w:rsidRPr="00591175">
        <w:rPr>
          <w:rFonts w:ascii="Times New Roman" w:eastAsia="Times New Roman" w:hAnsi="Times New Roman" w:cs="Times New Roman"/>
          <w:color w:val="000000"/>
        </w:rPr>
        <w:t>обезбеђује</w:t>
      </w:r>
      <w:proofErr w:type="spellEnd"/>
      <w:r w:rsidRPr="00591175">
        <w:rPr>
          <w:rFonts w:ascii="Times New Roman" w:eastAsia="Times New Roman" w:hAnsi="Times New Roman" w:cs="Times New Roman"/>
          <w:color w:val="000000"/>
          <w:lang w:val="sr-Cyrl-CS"/>
        </w:rPr>
        <w:t xml:space="preserve"> ЈП Дирекција за </w:t>
      </w:r>
      <w:proofErr w:type="gramStart"/>
      <w:r w:rsidRPr="00591175">
        <w:rPr>
          <w:rFonts w:ascii="Times New Roman" w:eastAsia="Times New Roman" w:hAnsi="Times New Roman" w:cs="Times New Roman"/>
          <w:color w:val="000000"/>
          <w:lang w:val="sr-Cyrl-CS"/>
        </w:rPr>
        <w:t>изградњу  Града</w:t>
      </w:r>
      <w:proofErr w:type="gramEnd"/>
      <w:r w:rsidRPr="00591175">
        <w:rPr>
          <w:rFonts w:ascii="Times New Roman" w:eastAsia="Times New Roman" w:hAnsi="Times New Roman" w:cs="Times New Roman"/>
          <w:color w:val="000000"/>
          <w:lang w:val="sr-Cyrl-CS"/>
        </w:rPr>
        <w:t xml:space="preserve"> Ниша</w:t>
      </w:r>
      <w:r w:rsidR="00B85E1E">
        <w:rPr>
          <w:rFonts w:ascii="Times New Roman" w:eastAsia="Times New Roman" w:hAnsi="Times New Roman" w:cs="Times New Roman"/>
          <w:color w:val="000000"/>
          <w:lang w:val="sr-Cyrl-CS"/>
        </w:rPr>
        <w:t>.</w:t>
      </w:r>
      <w:r w:rsidRPr="005A6BC4">
        <w:rPr>
          <w:rFonts w:ascii="Times New Roman" w:eastAsia="Times New Roman" w:hAnsi="Times New Roman" w:cs="CTimesRoman"/>
          <w:lang w:val="sr-Cyrl-CS" w:eastAsia="sr-Latn-CS"/>
        </w:rPr>
        <w:t xml:space="preserve"> </w:t>
      </w:r>
    </w:p>
    <w:p w:rsidR="005A6BC4" w:rsidRPr="00B85E1E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591175">
        <w:rPr>
          <w:rFonts w:ascii="Times New Roman" w:eastAsia="Times New Roman" w:hAnsi="Times New Roman" w:cs="CTimesRoman"/>
          <w:lang w:val="sr-Cyrl-CS" w:eastAsia="sr-Latn-CS"/>
        </w:rPr>
        <w:t>План обухвата подручје</w:t>
      </w:r>
      <w:r w:rsidRPr="005A6BC4">
        <w:rPr>
          <w:rFonts w:ascii="Times New Roman" w:eastAsia="Times New Roman" w:hAnsi="Times New Roman" w:cs="CTimesRoman"/>
          <w:lang w:val="sr-Cyrl-CS" w:eastAsia="sr-Latn-CS"/>
        </w:rPr>
        <w:t xml:space="preserve"> </w:t>
      </w:r>
      <w:r w:rsidRPr="00591175">
        <w:rPr>
          <w:rFonts w:ascii="Times New Roman" w:eastAsia="Times New Roman" w:hAnsi="Times New Roman" w:cs="CTimesRoman"/>
          <w:lang w:val="sr-Cyrl-CS" w:eastAsia="sr-Latn-CS"/>
        </w:rPr>
        <w:t xml:space="preserve">површине </w:t>
      </w:r>
      <w:r w:rsidRPr="00591175">
        <w:rPr>
          <w:rFonts w:ascii="Times New Roman" w:eastAsia="Times New Roman" w:hAnsi="Times New Roman" w:cs="CTimesRoman"/>
          <w:b/>
          <w:lang w:eastAsia="ar-SA"/>
        </w:rPr>
        <w:t>664</w:t>
      </w:r>
      <w:r>
        <w:rPr>
          <w:rFonts w:ascii="Times New Roman" w:eastAsia="Times New Roman" w:hAnsi="Times New Roman" w:cs="CTimesRoman"/>
          <w:b/>
          <w:noProof/>
          <w:lang w:val="sr-Latn-CS" w:eastAsia="ar-SA"/>
        </w:rPr>
        <w:t>h</w:t>
      </w:r>
      <w:r>
        <w:rPr>
          <w:rFonts w:ascii="Times New Roman" w:eastAsia="Times New Roman" w:hAnsi="Times New Roman" w:cs="CTimesRoman"/>
          <w:b/>
          <w:lang w:val="sr-Latn-CS" w:eastAsia="ar-SA"/>
        </w:rPr>
        <w:t>a</w:t>
      </w:r>
      <w:r w:rsidR="00B85E1E">
        <w:rPr>
          <w:rFonts w:ascii="Times New Roman" w:eastAsia="Times New Roman" w:hAnsi="Times New Roman" w:cs="CTimesRoman"/>
          <w:b/>
          <w:lang w:val="sr-Cyrl-CS" w:eastAsia="ar-SA"/>
        </w:rPr>
        <w:t>.</w:t>
      </w:r>
    </w:p>
    <w:p w:rsidR="00B85E1E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/>
        </w:rPr>
      </w:pPr>
      <w:r w:rsidRPr="00591175">
        <w:rPr>
          <w:rFonts w:ascii="Times New Roman" w:eastAsia="Times New Roman" w:hAnsi="Times New Roman" w:cs="Times New Roman"/>
          <w:lang w:val="ru-RU"/>
        </w:rPr>
        <w:t xml:space="preserve">Планом </w:t>
      </w:r>
      <w:r w:rsidRPr="00591175">
        <w:rPr>
          <w:rFonts w:ascii="Times New Roman" w:eastAsia="Times New Roman" w:hAnsi="Times New Roman" w:cs="Times New Roman"/>
          <w:lang w:val="sr-Cyrl-CS"/>
        </w:rPr>
        <w:t>се утврђују претежне намене земљишта;</w:t>
      </w:r>
      <w:r w:rsidRPr="00591175">
        <w:rPr>
          <w:rFonts w:ascii="Times New Roman" w:eastAsia="Times New Roman" w:hAnsi="Times New Roman" w:cs="Times New Roman"/>
          <w:lang w:val="ru-RU"/>
        </w:rPr>
        <w:t xml:space="preserve"> границе</w:t>
      </w:r>
      <w:r w:rsidRPr="00591175">
        <w:rPr>
          <w:rFonts w:ascii="Times New Roman" w:eastAsia="Times New Roman" w:hAnsi="Times New Roman" w:cs="Times New Roman"/>
          <w:lang w:val="sr-Cyrl-CS"/>
        </w:rPr>
        <w:t xml:space="preserve"> површина за јавне </w:t>
      </w:r>
      <w:r w:rsidRPr="00591175">
        <w:rPr>
          <w:rFonts w:ascii="Times New Roman" w:eastAsia="Times New Roman" w:hAnsi="Times New Roman" w:cs="Times New Roman"/>
          <w:lang w:val="ru-RU"/>
        </w:rPr>
        <w:t>намене; трасе, коридори и капацитети за саобраћајну</w:t>
      </w:r>
      <w:r w:rsidRPr="00591175">
        <w:rPr>
          <w:rFonts w:ascii="Times New Roman" w:eastAsia="Times New Roman" w:hAnsi="Times New Roman" w:cs="Times New Roman"/>
          <w:lang w:val="sr-Cyrl-CS"/>
        </w:rPr>
        <w:t xml:space="preserve">, енергетску, комуналну и другу инфраструктуру, локације за које је обавезна израда урбанистичких пројеката и јавног урбанистичко-архитектонског конкурса, као и остали садржаји </w:t>
      </w:r>
      <w:r w:rsidRPr="00591175">
        <w:rPr>
          <w:rFonts w:ascii="Times New Roman" w:eastAsia="Times New Roman" w:hAnsi="Times New Roman" w:cs="Times New Roman"/>
        </w:rPr>
        <w:t>п</w:t>
      </w:r>
      <w:r w:rsidRPr="00591175">
        <w:rPr>
          <w:rFonts w:ascii="Times New Roman" w:eastAsia="Times New Roman" w:hAnsi="Times New Roman" w:cs="Times New Roman"/>
          <w:lang w:val="sr-Cyrl-CS"/>
        </w:rPr>
        <w:t xml:space="preserve">лана генералне регулације прописани законом и правилником, а </w:t>
      </w:r>
      <w:r w:rsidRPr="00591175">
        <w:rPr>
          <w:rFonts w:ascii="Times New Roman" w:eastAsia="Times New Roman" w:hAnsi="Times New Roman" w:cs="Times New Roman"/>
          <w:color w:val="000000"/>
          <w:lang w:val="sr-Cyrl-CS"/>
        </w:rPr>
        <w:t>у свему поштујући одредбе Генералног урбанистичког плана Ниша 2010</w:t>
      </w:r>
      <w:r w:rsidR="00B85E1E">
        <w:rPr>
          <w:rFonts w:ascii="Times New Roman" w:eastAsia="Times New Roman" w:hAnsi="Times New Roman" w:cs="Times New Roman"/>
          <w:color w:val="000000"/>
          <w:lang w:val="sr-Cyrl-CS"/>
        </w:rPr>
        <w:t xml:space="preserve"> – 2025 </w:t>
      </w:r>
      <w:r w:rsidR="00B85E1E" w:rsidRPr="00591175">
        <w:rPr>
          <w:rFonts w:ascii="Times New Roman" w:eastAsia="Times New Roman" w:hAnsi="Times New Roman" w:cs="Times New Roman"/>
          <w:noProof/>
          <w:lang w:val="sr-Cyrl-CS"/>
        </w:rPr>
        <w:t>(„Службени лист Града Ниша“, бр.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>4</w:t>
      </w:r>
      <w:r w:rsidR="00B85E1E" w:rsidRPr="00591175">
        <w:rPr>
          <w:rFonts w:ascii="Times New Roman" w:eastAsia="Times New Roman" w:hAnsi="Times New Roman" w:cs="Times New Roman"/>
          <w:noProof/>
          <w:lang w:val="sr-Cyrl-CS"/>
        </w:rPr>
        <w:t>3/1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>1</w:t>
      </w:r>
      <w:r w:rsidR="00B85E1E" w:rsidRPr="00591175">
        <w:rPr>
          <w:rFonts w:ascii="Times New Roman" w:eastAsia="Times New Roman" w:hAnsi="Times New Roman" w:cs="Times New Roman"/>
          <w:noProof/>
          <w:lang w:val="sr-Cyrl-CS"/>
        </w:rPr>
        <w:t>)</w:t>
      </w:r>
      <w:r w:rsidR="00B85E1E" w:rsidRPr="00591175">
        <w:rPr>
          <w:rFonts w:ascii="Times New Roman" w:eastAsia="Times New Roman" w:hAnsi="Times New Roman" w:cs="Times New Roman"/>
          <w:lang w:val="ru-RU"/>
        </w:rPr>
        <w:t xml:space="preserve">, </w:t>
      </w: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лан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представља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основ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за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издавање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 локацијских услова за изградњу нових и реконструкцију постојећих објеката за које се у складу са одредбама Закона издаје грађевинска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дозвола, као и основ за израду планских докумената нижег реда.</w:t>
      </w: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Рани јавни увид, као прва фаза у изради планског документа, израђује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се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ради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упознавања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јавности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 (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правних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и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физичких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лица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)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са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општим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циљевима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и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сврхом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израде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плана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могућим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решењима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за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развој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просторне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целине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могућим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решењима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за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урбану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обнову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као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и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ефектима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планирања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у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погледу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унапређења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начина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коришћења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простора</w:t>
      </w:r>
      <w:r w:rsidRPr="00591175">
        <w:rPr>
          <w:rFonts w:ascii="Times New Roman" w:eastAsia="Times New Roman" w:hAnsi="Times New Roman" w:cs="Times New Roman"/>
          <w:noProof/>
          <w:lang w:val="sr-Cyrl-CS"/>
        </w:rPr>
        <w:t xml:space="preserve">,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у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складу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са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</w:t>
      </w:r>
      <w:r w:rsidRPr="00591175">
        <w:rPr>
          <w:rFonts w:ascii="Times New Roman" w:eastAsia="Times New Roman" w:hAnsi="Times New Roman" w:cs="Times New Roman" w:hint="eastAsia"/>
          <w:noProof/>
          <w:lang w:val="sr-Cyrl-CS"/>
        </w:rPr>
        <w:t>чланом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45. Става 1. Закона.</w:t>
      </w: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</w:rPr>
      </w:pPr>
      <w:r w:rsidRPr="00591175">
        <w:rPr>
          <w:rFonts w:ascii="Times New Roman" w:eastAsia="Times New Roman" w:hAnsi="Times New Roman" w:cs="Times New Roman"/>
          <w:noProof/>
          <w:lang w:val="sr-Cyrl-CS"/>
        </w:rPr>
        <w:t>Предмет равног јавног увида јесу основна концептуална планска развојна решења, која се не односе на услове, могућности и ограничења грађења на појединачним катастарским</w:t>
      </w:r>
      <w:r w:rsidR="00B85E1E">
        <w:rPr>
          <w:rFonts w:ascii="Times New Roman" w:eastAsia="Times New Roman" w:hAnsi="Times New Roman" w:cs="Times New Roman"/>
          <w:noProof/>
          <w:lang w:val="sr-Cyrl-CS"/>
        </w:rPr>
        <w:t xml:space="preserve"> или грађевиснким парцелама.</w:t>
      </w:r>
    </w:p>
    <w:p w:rsidR="005A6BC4" w:rsidRDefault="005A6BC4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CTimesRoman"/>
          <w:lang w:val="sr-Cyrl-CS" w:eastAsia="ar-SA"/>
        </w:rPr>
      </w:pPr>
      <w:r w:rsidRPr="00591175">
        <w:rPr>
          <w:rFonts w:ascii="Times New Roman" w:eastAsia="Times New Roman" w:hAnsi="Times New Roman" w:cs="CTimesRoman"/>
          <w:lang w:val="sr-Cyrl-CS" w:eastAsia="ar-SA"/>
        </w:rPr>
        <w:t>У складу са Одлуком о неприступању изради стратешке процене утицаја Плана на животну средину</w:t>
      </w:r>
      <w:r w:rsidRPr="00591175">
        <w:rPr>
          <w:rFonts w:ascii="Times New Roman" w:eastAsia="Times New Roman" w:hAnsi="Times New Roman" w:cs="CTimesRoman"/>
          <w:lang w:eastAsia="ar-SA"/>
        </w:rPr>
        <w:t>,</w:t>
      </w:r>
      <w:r w:rsidRPr="00591175">
        <w:rPr>
          <w:rFonts w:ascii="Times New Roman" w:eastAsia="Times New Roman" w:hAnsi="Times New Roman" w:cs="CTimesRoman"/>
          <w:lang w:val="sr-Cyrl-CS" w:eastAsia="ar-SA"/>
        </w:rPr>
        <w:t xml:space="preserve"> коју је донео орган надлежан за припрему одлуке по претходно прибављеном мишљењу органа надлежног за послове заштите животне средине, не приступа се изради</w:t>
      </w:r>
      <w:r w:rsidR="00B85E1E">
        <w:rPr>
          <w:rFonts w:ascii="Times New Roman" w:eastAsia="Times New Roman" w:hAnsi="Times New Roman" w:cs="CTimesRoman"/>
          <w:lang w:val="sr-Cyrl-CS" w:eastAsia="ar-SA"/>
        </w:rPr>
        <w:t xml:space="preserve"> стратешке процене утицаја Плана на животну средину.</w:t>
      </w:r>
    </w:p>
    <w:p w:rsidR="00B85E1E" w:rsidRDefault="00B85E1E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CTimesRoman"/>
          <w:lang w:val="sr-Cyrl-CS" w:eastAsia="ar-SA"/>
        </w:rPr>
      </w:pPr>
    </w:p>
    <w:p w:rsidR="00B85E1E" w:rsidRDefault="00B85E1E" w:rsidP="00B85E1E">
      <w:pPr>
        <w:spacing w:before="60" w:after="0" w:line="240" w:lineRule="auto"/>
        <w:ind w:firstLine="851"/>
        <w:jc w:val="both"/>
        <w:rPr>
          <w:rFonts w:ascii="Times New Roman" w:eastAsia="Times New Roman" w:hAnsi="Times New Roman" w:cs="CTimesRoman"/>
          <w:lang w:val="sr-Cyrl-CS" w:eastAsia="ar-SA"/>
        </w:rPr>
      </w:pPr>
    </w:p>
    <w:p w:rsidR="00B85E1E" w:rsidRDefault="00B85E1E" w:rsidP="00B85E1E">
      <w:pPr>
        <w:tabs>
          <w:tab w:val="center" w:pos="1701"/>
          <w:tab w:val="center" w:pos="6663"/>
        </w:tabs>
        <w:spacing w:before="60" w:after="0" w:line="240" w:lineRule="auto"/>
        <w:jc w:val="both"/>
        <w:rPr>
          <w:b/>
          <w:lang w:val="sr-Cyrl-CS"/>
        </w:rPr>
      </w:pPr>
      <w:r w:rsidRPr="00B85E1E">
        <w:rPr>
          <w:b/>
          <w:lang w:val="sr-Cyrl-CS"/>
        </w:rPr>
        <w:tab/>
      </w:r>
    </w:p>
    <w:p w:rsidR="00B85E1E" w:rsidRPr="00B85E1E" w:rsidRDefault="00B85E1E" w:rsidP="00B85E1E">
      <w:pPr>
        <w:tabs>
          <w:tab w:val="center" w:pos="1701"/>
          <w:tab w:val="center" w:pos="6663"/>
        </w:tabs>
        <w:spacing w:before="60"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85E1E">
        <w:rPr>
          <w:rFonts w:ascii="Times New Roman" w:hAnsi="Times New Roman" w:cs="Times New Roman"/>
          <w:b/>
          <w:lang w:val="sr-Cyrl-CS"/>
        </w:rPr>
        <w:t>ЈП ЗАВОД ЗА УРБАНИЗАМ НИШ</w:t>
      </w:r>
      <w:r w:rsidRPr="00B85E1E">
        <w:rPr>
          <w:rFonts w:ascii="Times New Roman" w:hAnsi="Times New Roman" w:cs="Times New Roman"/>
          <w:b/>
          <w:lang w:val="sr-Cyrl-CS"/>
        </w:rPr>
        <w:tab/>
        <w:t>УПРАВА ЗА ПЛАНИРАЊЕ И ИЗГРАДЊУ</w:t>
      </w:r>
    </w:p>
    <w:p w:rsidR="00B85E1E" w:rsidRPr="00B85E1E" w:rsidRDefault="00B85E1E" w:rsidP="00B85E1E">
      <w:pPr>
        <w:tabs>
          <w:tab w:val="center" w:pos="1701"/>
          <w:tab w:val="center" w:pos="6663"/>
        </w:tabs>
        <w:spacing w:before="60"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85E1E">
        <w:rPr>
          <w:rFonts w:ascii="Times New Roman" w:hAnsi="Times New Roman" w:cs="Times New Roman"/>
          <w:b/>
          <w:lang w:val="sr-Cyrl-CS"/>
        </w:rPr>
        <w:tab/>
        <w:t>Директор,</w:t>
      </w:r>
      <w:r w:rsidRPr="00B85E1E">
        <w:rPr>
          <w:rFonts w:ascii="Times New Roman" w:hAnsi="Times New Roman" w:cs="Times New Roman"/>
          <w:b/>
          <w:lang w:val="sr-Cyrl-CS"/>
        </w:rPr>
        <w:tab/>
        <w:t>Начелник,</w:t>
      </w:r>
    </w:p>
    <w:p w:rsidR="00B85E1E" w:rsidRPr="00B85E1E" w:rsidRDefault="00B85E1E" w:rsidP="00B85E1E">
      <w:pPr>
        <w:tabs>
          <w:tab w:val="center" w:pos="1701"/>
          <w:tab w:val="center" w:pos="6663"/>
        </w:tabs>
        <w:spacing w:before="60"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</w:p>
    <w:p w:rsidR="00B85E1E" w:rsidRPr="00B85E1E" w:rsidRDefault="00B85E1E" w:rsidP="00B85E1E">
      <w:pPr>
        <w:tabs>
          <w:tab w:val="center" w:pos="1701"/>
          <w:tab w:val="center" w:pos="6663"/>
        </w:tabs>
        <w:spacing w:before="60"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85E1E">
        <w:rPr>
          <w:rFonts w:ascii="Times New Roman" w:hAnsi="Times New Roman" w:cs="Times New Roman"/>
          <w:b/>
          <w:lang w:val="sr-Cyrl-CS"/>
        </w:rPr>
        <w:tab/>
        <w:t>Љубиша Митић, дипл.инж.грађ.</w:t>
      </w:r>
      <w:r w:rsidRPr="00B85E1E">
        <w:rPr>
          <w:rFonts w:ascii="Times New Roman" w:hAnsi="Times New Roman" w:cs="Times New Roman"/>
          <w:b/>
          <w:lang w:val="sr-Cyrl-CS"/>
        </w:rPr>
        <w:tab/>
        <w:t>Родољуб Михајловић, дипл.инж.грађ.</w:t>
      </w:r>
    </w:p>
    <w:sectPr w:rsidR="00B85E1E" w:rsidRPr="00B85E1E" w:rsidSect="005A6BC4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1707"/>
    <w:multiLevelType w:val="hybridMultilevel"/>
    <w:tmpl w:val="01EE7A98"/>
    <w:lvl w:ilvl="0" w:tplc="4252C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5A6BC4"/>
    <w:rsid w:val="005A6BC4"/>
    <w:rsid w:val="00B8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404</Words>
  <Characters>2309</Characters>
  <Application>Microsoft Office Word</Application>
  <DocSecurity>0</DocSecurity>
  <Lines>19</Lines>
  <Paragraphs>5</Paragraphs>
  <ScaleCrop>false</ScaleCrop>
  <Company>Zurb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irena.maticek</dc:creator>
  <cp:keywords/>
  <dc:description/>
  <cp:lastModifiedBy>irena.maticek</cp:lastModifiedBy>
  <cp:revision>3</cp:revision>
  <dcterms:created xsi:type="dcterms:W3CDTF">2019-04-11T09:52:00Z</dcterms:created>
  <dcterms:modified xsi:type="dcterms:W3CDTF">2019-04-11T10:04:00Z</dcterms:modified>
</cp:coreProperties>
</file>