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3D" w:rsidRPr="00A6083D" w:rsidRDefault="00A6083D" w:rsidP="00A6083D">
      <w:pPr>
        <w:spacing w:before="60" w:after="60" w:line="240" w:lineRule="auto"/>
        <w:jc w:val="center"/>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pPr>
      <w:r w:rsidRPr="00A6083D">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t>О Б Р А З Л О Ж Е Њ Е</w:t>
      </w:r>
    </w:p>
    <w:p w:rsidR="00A6083D" w:rsidRPr="00A6083D" w:rsidRDefault="00A6083D" w:rsidP="00A6083D">
      <w:pPr>
        <w:spacing w:before="60" w:after="60" w:line="240" w:lineRule="auto"/>
        <w:jc w:val="center"/>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pPr>
      <w:r w:rsidRPr="00A6083D">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t>ПЛАНА ГЕНЕРАЛНЕ РЕГУЛАЦИЈЕ ПОДРУЧЈА ГРАДСКЕ ОПШТИНЕ ПАНТЕЛЕЈ</w:t>
      </w:r>
    </w:p>
    <w:p w:rsidR="00A6083D" w:rsidRPr="00A6083D" w:rsidRDefault="00A6083D" w:rsidP="00A6083D">
      <w:pPr>
        <w:spacing w:before="120" w:after="120" w:line="240" w:lineRule="auto"/>
        <w:jc w:val="center"/>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pPr>
      <w:r w:rsidRPr="00A6083D">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t xml:space="preserve">ЧЕТВРТА ФАЗА </w:t>
      </w:r>
      <w:r w:rsidRPr="00A6083D">
        <w:rPr>
          <w:rFonts w:ascii="Times New Roman" w:eastAsia="Times New Roman" w:hAnsi="Times New Roman" w:cs="Times New Roman"/>
          <w:b/>
          <w14:shadow w14:blurRad="50800" w14:dist="38100" w14:dir="2700000" w14:sx="100000" w14:sy="100000" w14:kx="0" w14:ky="0" w14:algn="tl">
            <w14:srgbClr w14:val="000000">
              <w14:alpha w14:val="60000"/>
            </w14:srgbClr>
          </w14:shadow>
        </w:rPr>
        <w:t xml:space="preserve">- </w:t>
      </w:r>
      <w:r w:rsidRPr="00A6083D">
        <w:rPr>
          <w:rFonts w:ascii="Times New Roman" w:eastAsia="Times New Roman" w:hAnsi="Times New Roman" w:cs="Times New Roman"/>
          <w:b/>
          <w:lang w:val="ru-RU"/>
          <w14:shadow w14:blurRad="50800" w14:dist="38100" w14:dir="2700000" w14:sx="100000" w14:sy="100000" w14:kx="0" w14:ky="0" w14:algn="tl">
            <w14:srgbClr w14:val="000000">
              <w14:alpha w14:val="60000"/>
            </w14:srgbClr>
          </w14:shadow>
        </w:rPr>
        <w:t>СЕВЕР</w:t>
      </w:r>
    </w:p>
    <w:p w:rsidR="00A6083D" w:rsidRPr="00A6083D" w:rsidRDefault="00A6083D" w:rsidP="00A6083D">
      <w:pPr>
        <w:spacing w:after="0" w:line="240" w:lineRule="auto"/>
        <w:ind w:firstLine="709"/>
        <w:jc w:val="both"/>
        <w:rPr>
          <w:rFonts w:ascii="Times New Roman" w:eastAsia="Times New Roman" w:hAnsi="Times New Roman" w:cs="Times New Roman"/>
          <w:lang w:val="ru-RU"/>
        </w:rPr>
      </w:pPr>
      <w:r w:rsidRPr="00A6083D">
        <w:rPr>
          <w:rFonts w:ascii="Times New Roman" w:eastAsia="Times New Roman" w:hAnsi="Times New Roman" w:cs="Times New Roman"/>
          <w:lang w:val="ru-RU"/>
        </w:rPr>
        <w:t xml:space="preserve">Израда Плана генералне регулације </w:t>
      </w:r>
      <w:r w:rsidRPr="00A6083D">
        <w:rPr>
          <w:rFonts w:ascii="Times New Roman" w:eastAsia="Times New Roman" w:hAnsi="Times New Roman" w:cs="Times New Roman"/>
          <w:lang w:val="sr-Latn-CS" w:eastAsia="sr-Latn-CS"/>
        </w:rPr>
        <w:t>подручја градске општине Пантелеј – четврта фаза север</w:t>
      </w:r>
      <w:r w:rsidRPr="00A6083D">
        <w:rPr>
          <w:rFonts w:ascii="Times New Roman" w:eastAsia="Times New Roman" w:hAnsi="Times New Roman" w:cs="Times New Roman"/>
          <w:lang w:val="ru-RU"/>
        </w:rPr>
        <w:t>, у да</w:t>
      </w:r>
      <w:r w:rsidRPr="00A6083D">
        <w:rPr>
          <w:rFonts w:ascii="Times New Roman" w:eastAsia="Times New Roman" w:hAnsi="Times New Roman" w:cs="Times New Roman"/>
        </w:rPr>
        <w:t>љ</w:t>
      </w:r>
      <w:r w:rsidRPr="00A6083D">
        <w:rPr>
          <w:rFonts w:ascii="Times New Roman" w:eastAsia="Times New Roman" w:hAnsi="Times New Roman" w:cs="Times New Roman"/>
          <w:lang w:val="ru-RU"/>
        </w:rPr>
        <w:t xml:space="preserve">ем тексту: </w:t>
      </w:r>
      <w:r w:rsidRPr="00A6083D">
        <w:rPr>
          <w:rFonts w:ascii="Times New Roman" w:eastAsia="Times New Roman" w:hAnsi="Times New Roman" w:cs="Times New Roman"/>
        </w:rPr>
        <w:t>„</w:t>
      </w:r>
      <w:r w:rsidRPr="00A6083D">
        <w:rPr>
          <w:rFonts w:ascii="Times New Roman" w:eastAsia="Times New Roman" w:hAnsi="Times New Roman" w:cs="Times New Roman"/>
          <w:lang w:val="ru-RU"/>
        </w:rPr>
        <w:t>План</w:t>
      </w:r>
      <w:r w:rsidRPr="00A6083D">
        <w:rPr>
          <w:rFonts w:ascii="Times New Roman" w:eastAsia="Times New Roman" w:hAnsi="Times New Roman" w:cs="Times New Roman"/>
        </w:rPr>
        <w:t>“</w:t>
      </w:r>
      <w:r w:rsidRPr="00A6083D">
        <w:rPr>
          <w:rFonts w:ascii="Times New Roman" w:eastAsia="Times New Roman" w:hAnsi="Times New Roman" w:cs="Times New Roman"/>
          <w:lang w:val="ru-RU"/>
        </w:rPr>
        <w:t xml:space="preserve"> започета је доношењем Одлуке о изради </w:t>
      </w:r>
      <w:r w:rsidRPr="00A6083D">
        <w:rPr>
          <w:rFonts w:ascii="Times New Roman" w:eastAsia="Times New Roman" w:hAnsi="Times New Roman" w:cs="Times New Roman"/>
          <w:lang w:val="sr-Cyrl-CS"/>
        </w:rPr>
        <w:t xml:space="preserve">плана генералне регулације </w:t>
      </w:r>
      <w:r w:rsidRPr="00A6083D">
        <w:rPr>
          <w:rFonts w:ascii="Times New Roman" w:eastAsia="Times New Roman" w:hAnsi="Times New Roman" w:cs="Times New Roman"/>
          <w:lang w:val="sr-Latn-CS" w:eastAsia="sr-Latn-CS"/>
        </w:rPr>
        <w:t>подручја градске општине Пантелеј – четврта фаза север</w:t>
      </w:r>
      <w:r w:rsidRPr="00A6083D">
        <w:rPr>
          <w:rFonts w:ascii="Times New Roman" w:eastAsia="Times New Roman" w:hAnsi="Times New Roman" w:cs="Times New Roman"/>
          <w:lang w:val="ru-RU"/>
        </w:rPr>
        <w:t xml:space="preserve"> (</w:t>
      </w:r>
      <w:r w:rsidRPr="00A6083D">
        <w:rPr>
          <w:rFonts w:ascii="Times New Roman" w:eastAsia="Times New Roman" w:hAnsi="Times New Roman" w:cs="Times New Roman"/>
        </w:rPr>
        <w:t>„</w:t>
      </w:r>
      <w:r w:rsidRPr="00A6083D">
        <w:rPr>
          <w:rFonts w:ascii="Times New Roman" w:eastAsia="Times New Roman" w:hAnsi="Times New Roman" w:cs="Times New Roman"/>
          <w:lang w:val="ru-RU"/>
        </w:rPr>
        <w:t>Сл</w:t>
      </w:r>
      <w:proofErr w:type="spellStart"/>
      <w:r w:rsidRPr="00A6083D">
        <w:rPr>
          <w:rFonts w:ascii="Times New Roman" w:eastAsia="Times New Roman" w:hAnsi="Times New Roman" w:cs="Times New Roman"/>
        </w:rPr>
        <w:t>ужбени</w:t>
      </w:r>
      <w:proofErr w:type="spellEnd"/>
      <w:r w:rsidRPr="00A6083D">
        <w:rPr>
          <w:rFonts w:ascii="Times New Roman" w:eastAsia="Times New Roman" w:hAnsi="Times New Roman" w:cs="Times New Roman"/>
          <w:lang w:val="ru-RU"/>
        </w:rPr>
        <w:t xml:space="preserve"> лист Града Ниша</w:t>
      </w:r>
      <w:r w:rsidRPr="00A6083D">
        <w:rPr>
          <w:rFonts w:ascii="Times New Roman" w:eastAsia="Times New Roman" w:hAnsi="Times New Roman" w:cs="Times New Roman"/>
        </w:rPr>
        <w:t>“</w:t>
      </w:r>
      <w:r w:rsidRPr="00A6083D">
        <w:rPr>
          <w:rFonts w:ascii="Times New Roman" w:eastAsia="Times New Roman" w:hAnsi="Times New Roman" w:cs="Times New Roman"/>
          <w:lang w:val="ru-RU"/>
        </w:rPr>
        <w:t>, бр. 53/1</w:t>
      </w:r>
      <w:r w:rsidRPr="00A6083D">
        <w:rPr>
          <w:rFonts w:ascii="Times New Roman" w:eastAsia="Times New Roman" w:hAnsi="Times New Roman" w:cs="Times New Roman"/>
        </w:rPr>
        <w:t>5</w:t>
      </w:r>
      <w:r w:rsidRPr="00A6083D">
        <w:rPr>
          <w:rFonts w:ascii="Times New Roman" w:eastAsia="Times New Roman" w:hAnsi="Times New Roman" w:cs="Times New Roman"/>
          <w:lang w:val="sr-Cyrl-CS"/>
        </w:rPr>
        <w:t>)</w:t>
      </w:r>
      <w:r w:rsidRPr="00A6083D">
        <w:rPr>
          <w:rFonts w:ascii="Times New Roman" w:eastAsia="Times New Roman" w:hAnsi="Times New Roman" w:cs="Times New Roman"/>
          <w:lang w:val="ru-RU"/>
        </w:rPr>
        <w:t>.</w:t>
      </w:r>
    </w:p>
    <w:p w:rsidR="00A6083D" w:rsidRPr="00A6083D" w:rsidRDefault="00A6083D" w:rsidP="00A6083D">
      <w:pPr>
        <w:spacing w:after="0" w:line="240" w:lineRule="auto"/>
        <w:ind w:firstLine="709"/>
        <w:jc w:val="both"/>
        <w:rPr>
          <w:rFonts w:ascii="Times New Roman" w:eastAsia="Times New Roman" w:hAnsi="Times New Roman" w:cs="Times New Roman"/>
        </w:rPr>
      </w:pPr>
      <w:r w:rsidRPr="00A6083D">
        <w:rPr>
          <w:rFonts w:ascii="Times New Roman" w:eastAsia="Times New Roman" w:hAnsi="Times New Roman" w:cs="Times New Roman"/>
          <w:lang w:val="ru-RU"/>
        </w:rPr>
        <w:t xml:space="preserve">План је израђен у складу са одредбама Закона о планирању и изградњи </w:t>
      </w:r>
      <w:r w:rsidRPr="00A6083D">
        <w:rPr>
          <w:rFonts w:ascii="Times New Roman" w:eastAsia="Times New Roman" w:hAnsi="Times New Roman" w:cs="Times New Roman"/>
          <w:lang w:val="sr-Latn-CS" w:eastAsia="sr-Latn-CS"/>
        </w:rPr>
        <w:t>("Службени гласник РС", бр.</w:t>
      </w:r>
      <w:r w:rsidRPr="00A6083D">
        <w:rPr>
          <w:rFonts w:ascii="Times New Roman" w:eastAsia="Times New Roman" w:hAnsi="Times New Roman" w:cs="Times New Roman"/>
          <w:lang w:val="sr-Cyrl-RS" w:eastAsia="sr-Latn-CS"/>
        </w:rPr>
        <w:t xml:space="preserve"> </w:t>
      </w:r>
      <w:r w:rsidRPr="00A6083D">
        <w:rPr>
          <w:rFonts w:ascii="Times New Roman" w:eastAsia="Times New Roman" w:hAnsi="Times New Roman" w:cs="Times New Roman"/>
          <w:lang w:val="sr-Latn-CS" w:eastAsia="sr-Latn-CS"/>
        </w:rPr>
        <w:t>72/09, 81/09-исправка, 64/10-одлука УС, 24/11, 121/12-одлука УС, 42/13-одлука УС, 50/13-одлука УС, 98/13-одлука УС, 132/14</w:t>
      </w:r>
      <w:r w:rsidRPr="00A6083D">
        <w:rPr>
          <w:rFonts w:ascii="Times New Roman" w:eastAsia="Times New Roman" w:hAnsi="Times New Roman" w:cs="Times New Roman"/>
          <w:lang w:val="sr-Cyrl-RS" w:eastAsia="sr-Latn-CS"/>
        </w:rPr>
        <w:t>,</w:t>
      </w:r>
      <w:r w:rsidRPr="00A6083D">
        <w:rPr>
          <w:rFonts w:ascii="Times New Roman" w:eastAsia="Times New Roman" w:hAnsi="Times New Roman" w:cs="Times New Roman"/>
          <w:lang w:val="sr-Latn-CS" w:eastAsia="sr-Latn-CS"/>
        </w:rPr>
        <w:t xml:space="preserve"> 145/14</w:t>
      </w:r>
      <w:r w:rsidRPr="00A6083D">
        <w:rPr>
          <w:rFonts w:ascii="Times New Roman" w:eastAsia="Times New Roman" w:hAnsi="Times New Roman" w:cs="Times New Roman"/>
          <w:lang w:val="sr-Cyrl-RS" w:eastAsia="sr-Latn-CS"/>
        </w:rPr>
        <w:t xml:space="preserve"> и 83/2018</w:t>
      </w:r>
      <w:r w:rsidRPr="00A6083D">
        <w:rPr>
          <w:rFonts w:ascii="Times New Roman" w:eastAsia="Times New Roman" w:hAnsi="Times New Roman" w:cs="Times New Roman"/>
          <w:lang w:val="sr-Latn-CS" w:eastAsia="sr-Latn-CS"/>
        </w:rPr>
        <w:t>)</w:t>
      </w:r>
      <w:r w:rsidRPr="00A6083D">
        <w:rPr>
          <w:rFonts w:ascii="Times New Roman" w:eastAsia="Times New Roman" w:hAnsi="Times New Roman" w:cs="Times New Roman"/>
          <w:lang w:val="ru-RU"/>
        </w:rPr>
        <w:t xml:space="preserve">  и Правилника о садржини, начину и поступку израде докумената просторног и урбанистичког планирања („Службени гласник РС“, бр. 64/15).</w:t>
      </w:r>
    </w:p>
    <w:p w:rsidR="00A6083D" w:rsidRPr="00A6083D" w:rsidRDefault="00A6083D" w:rsidP="00A6083D">
      <w:pPr>
        <w:widowControl w:val="0"/>
        <w:autoSpaceDE w:val="0"/>
        <w:spacing w:after="0" w:line="240" w:lineRule="auto"/>
        <w:ind w:firstLine="709"/>
        <w:jc w:val="both"/>
        <w:rPr>
          <w:rFonts w:ascii="Times New Roman" w:eastAsia="Times New Roman" w:hAnsi="Times New Roman" w:cs="Times New Roman"/>
          <w:lang w:val="ru-RU"/>
        </w:rPr>
      </w:pPr>
      <w:r w:rsidRPr="00A6083D">
        <w:rPr>
          <w:rFonts w:ascii="Times New Roman" w:eastAsia="Times New Roman" w:hAnsi="Times New Roman" w:cs="Times New Roman"/>
          <w:lang w:val="ru-RU"/>
        </w:rPr>
        <w:t xml:space="preserve">Носилац израде </w:t>
      </w:r>
      <w:r w:rsidRPr="00A6083D">
        <w:rPr>
          <w:rFonts w:ascii="Times New Roman" w:eastAsia="Times New Roman" w:hAnsi="Times New Roman" w:cs="Times New Roman"/>
          <w:w w:val="101"/>
          <w:lang w:val="ru-RU"/>
        </w:rPr>
        <w:t>Плана</w:t>
      </w:r>
      <w:r w:rsidRPr="00A6083D">
        <w:rPr>
          <w:rFonts w:ascii="Times New Roman" w:eastAsia="Times New Roman" w:hAnsi="Times New Roman" w:cs="Times New Roman"/>
          <w:bCs/>
          <w:w w:val="101"/>
          <w:lang w:val="ru-RU"/>
        </w:rPr>
        <w:t xml:space="preserve"> </w:t>
      </w:r>
      <w:r w:rsidRPr="00A6083D">
        <w:rPr>
          <w:rFonts w:ascii="Times New Roman" w:eastAsia="Times New Roman" w:hAnsi="Times New Roman" w:cs="Times New Roman"/>
          <w:lang w:val="ru-RU"/>
        </w:rPr>
        <w:t>је Секретаријат за планирање и изградњу Градске управе Града Ниша. Израда Плана је поверена ЈП Завод за урбанизам Ниш као обрађивачу.</w:t>
      </w:r>
    </w:p>
    <w:p w:rsidR="00A6083D" w:rsidRPr="00A6083D" w:rsidRDefault="00A6083D" w:rsidP="00A6083D">
      <w:pPr>
        <w:spacing w:after="0" w:line="240" w:lineRule="auto"/>
        <w:ind w:right="-32" w:firstLine="709"/>
        <w:jc w:val="both"/>
        <w:rPr>
          <w:rFonts w:ascii="Times New Roman" w:eastAsia="Times New Roman" w:hAnsi="Times New Roman" w:cs="Times New Roman"/>
          <w:noProof/>
          <w:lang w:val="sr-Cyrl-CS"/>
        </w:rPr>
      </w:pPr>
      <w:r w:rsidRPr="00A6083D">
        <w:rPr>
          <w:rFonts w:ascii="Times New Roman" w:eastAsia="Times New Roman" w:hAnsi="Times New Roman" w:cs="Times New Roman"/>
          <w:noProof/>
          <w:lang w:val="sr-Cyrl-CS"/>
        </w:rPr>
        <w:t xml:space="preserve">Планом се у складу са чланом 25. став 1. Закона о планирању и изградњи </w:t>
      </w:r>
      <w:r w:rsidRPr="00A6083D">
        <w:rPr>
          <w:rFonts w:ascii="Times New Roman" w:eastAsia="Times New Roman" w:hAnsi="Times New Roman" w:cs="Times New Roman"/>
          <w:lang w:val="sr-Latn-CS" w:eastAsia="sr-Latn-CS"/>
        </w:rPr>
        <w:t>("Службени гласник РС", бр.</w:t>
      </w:r>
      <w:r w:rsidRPr="00A6083D">
        <w:rPr>
          <w:rFonts w:ascii="Times New Roman" w:eastAsia="Times New Roman" w:hAnsi="Times New Roman" w:cs="Times New Roman"/>
          <w:lang w:val="sr-Cyrl-RS" w:eastAsia="sr-Latn-CS"/>
        </w:rPr>
        <w:t xml:space="preserve"> </w:t>
      </w:r>
      <w:r w:rsidRPr="00A6083D">
        <w:rPr>
          <w:rFonts w:ascii="Times New Roman" w:eastAsia="Times New Roman" w:hAnsi="Times New Roman" w:cs="Times New Roman"/>
          <w:lang w:val="sr-Latn-CS" w:eastAsia="sr-Latn-CS"/>
        </w:rPr>
        <w:t>72/09, 81/09-исправка, 64/10-одлука УС, 24/11, 121/12-одлука УС, 42/13-одлука УС, 50/13-одлука УС, 98/13-одлука УС, 132/14</w:t>
      </w:r>
      <w:r w:rsidRPr="00A6083D">
        <w:rPr>
          <w:rFonts w:ascii="Times New Roman" w:eastAsia="Times New Roman" w:hAnsi="Times New Roman" w:cs="Times New Roman"/>
          <w:lang w:val="sr-Cyrl-RS" w:eastAsia="sr-Latn-CS"/>
        </w:rPr>
        <w:t>,</w:t>
      </w:r>
      <w:r w:rsidRPr="00A6083D">
        <w:rPr>
          <w:rFonts w:ascii="Times New Roman" w:eastAsia="Times New Roman" w:hAnsi="Times New Roman" w:cs="Times New Roman"/>
          <w:lang w:val="sr-Latn-CS" w:eastAsia="sr-Latn-CS"/>
        </w:rPr>
        <w:t xml:space="preserve"> 145/14</w:t>
      </w:r>
      <w:r w:rsidRPr="00A6083D">
        <w:rPr>
          <w:rFonts w:ascii="Times New Roman" w:eastAsia="Times New Roman" w:hAnsi="Times New Roman" w:cs="Times New Roman"/>
          <w:lang w:val="sr-Cyrl-RS" w:eastAsia="sr-Latn-CS"/>
        </w:rPr>
        <w:t xml:space="preserve"> и 83/2018</w:t>
      </w:r>
      <w:r w:rsidRPr="00A6083D">
        <w:rPr>
          <w:rFonts w:ascii="Times New Roman" w:eastAsia="Times New Roman" w:hAnsi="Times New Roman" w:cs="Times New Roman"/>
          <w:lang w:val="sr-Latn-CS" w:eastAsia="sr-Latn-CS"/>
        </w:rPr>
        <w:t>)</w:t>
      </w:r>
      <w:r w:rsidRPr="00A6083D">
        <w:rPr>
          <w:rFonts w:ascii="Times New Roman" w:eastAsia="Times New Roman" w:hAnsi="Times New Roman" w:cs="Times New Roman"/>
          <w:lang w:val="sr-Cyrl-RS" w:eastAsia="sr-Latn-CS"/>
        </w:rPr>
        <w:t xml:space="preserve">, </w:t>
      </w:r>
      <w:r w:rsidRPr="00A6083D">
        <w:rPr>
          <w:rFonts w:ascii="Times New Roman" w:eastAsia="Times New Roman" w:hAnsi="Times New Roman" w:cs="Times New Roman"/>
          <w:noProof/>
          <w:lang w:val="sr-Cyrl-CS"/>
        </w:rPr>
        <w:t xml:space="preserve">према коме се план генералне регулације обавезно доноси за цело грађевинско подручје насељеног места за које се доноси генерални урбанистички план, по деловима насељеног места, разрађује део грађевинског подручја Града Ниша одређеног Генералним урбанистичким планом Града Ниша 2010-2025. („Службени лист града Ниша“, бр. 43/11, 136/16 и 17/18). </w:t>
      </w:r>
    </w:p>
    <w:p w:rsidR="00A6083D" w:rsidRPr="00A6083D" w:rsidRDefault="00A6083D" w:rsidP="00A6083D">
      <w:pPr>
        <w:spacing w:after="0" w:line="240" w:lineRule="auto"/>
        <w:ind w:firstLine="709"/>
        <w:jc w:val="both"/>
        <w:rPr>
          <w:rFonts w:ascii="Times New Roman" w:eastAsia="Times New Roman" w:hAnsi="Times New Roman" w:cs="Times New Roman"/>
          <w:lang w:val="ru-RU"/>
        </w:rPr>
      </w:pPr>
      <w:r w:rsidRPr="00A6083D">
        <w:rPr>
          <w:rFonts w:ascii="Times New Roman" w:eastAsia="Times New Roman" w:hAnsi="Times New Roman" w:cs="Times New Roman"/>
          <w:lang w:val="ru-RU"/>
        </w:rPr>
        <w:t>План захвата подручје површине 705,37 hа које у административном смислу припада Градској Општини Пантелеј и захвата Катастарске општине Доњи Матејевац и Горњи Матејевац.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0"/>
        <w:gridCol w:w="3109"/>
        <w:gridCol w:w="3020"/>
      </w:tblGrid>
      <w:tr w:rsidR="00A6083D" w:rsidRPr="00A6083D" w:rsidTr="00936858">
        <w:trPr>
          <w:trHeight w:val="227"/>
        </w:trPr>
        <w:tc>
          <w:tcPr>
            <w:tcW w:w="3000" w:type="dxa"/>
            <w:tcBorders>
              <w:left w:val="nil"/>
              <w:bottom w:val="single" w:sz="4" w:space="0" w:color="auto"/>
              <w:right w:val="nil"/>
            </w:tcBorders>
            <w:vAlign w:val="center"/>
          </w:tcPr>
          <w:p w:rsidR="00A6083D" w:rsidRPr="00A6083D" w:rsidRDefault="00A6083D" w:rsidP="00A6083D">
            <w:pPr>
              <w:spacing w:after="0" w:line="240" w:lineRule="auto"/>
              <w:ind w:left="119"/>
              <w:rPr>
                <w:rFonts w:ascii="Times New Roman" w:eastAsia="Times New Roman" w:hAnsi="Times New Roman" w:cs="Times New Roman"/>
                <w:b/>
                <w:lang w:val="ru-RU"/>
              </w:rPr>
            </w:pPr>
            <w:r w:rsidRPr="00A6083D">
              <w:rPr>
                <w:rFonts w:ascii="Times New Roman" w:eastAsia="Times New Roman" w:hAnsi="Times New Roman" w:cs="Times New Roman"/>
                <w:b/>
                <w:lang w:val="ru-RU"/>
              </w:rPr>
              <w:t>Обухват Плана</w:t>
            </w:r>
          </w:p>
        </w:tc>
        <w:tc>
          <w:tcPr>
            <w:tcW w:w="3109" w:type="dxa"/>
            <w:tcBorders>
              <w:left w:val="nil"/>
              <w:bottom w:val="single" w:sz="4" w:space="0" w:color="auto"/>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b/>
              </w:rPr>
            </w:pPr>
            <w:proofErr w:type="spellStart"/>
            <w:r w:rsidRPr="00A6083D">
              <w:rPr>
                <w:rFonts w:ascii="Times New Roman" w:eastAsia="Times New Roman" w:hAnsi="Times New Roman" w:cs="Times New Roman"/>
                <w:b/>
              </w:rPr>
              <w:t>Површина</w:t>
            </w:r>
            <w:proofErr w:type="spellEnd"/>
            <w:r w:rsidRPr="00A6083D">
              <w:rPr>
                <w:rFonts w:ascii="Times New Roman" w:eastAsia="Times New Roman" w:hAnsi="Times New Roman" w:cs="Times New Roman"/>
                <w:b/>
              </w:rPr>
              <w:t xml:space="preserve"> ha</w:t>
            </w:r>
          </w:p>
        </w:tc>
        <w:tc>
          <w:tcPr>
            <w:tcW w:w="3020" w:type="dxa"/>
            <w:tcBorders>
              <w:left w:val="nil"/>
              <w:bottom w:val="single" w:sz="4" w:space="0" w:color="auto"/>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b/>
              </w:rPr>
            </w:pPr>
            <w:proofErr w:type="spellStart"/>
            <w:r w:rsidRPr="00A6083D">
              <w:rPr>
                <w:rFonts w:ascii="Times New Roman" w:eastAsia="Times New Roman" w:hAnsi="Times New Roman" w:cs="Times New Roman"/>
                <w:b/>
              </w:rPr>
              <w:t>Удео</w:t>
            </w:r>
            <w:proofErr w:type="spellEnd"/>
            <w:r w:rsidRPr="00A6083D">
              <w:rPr>
                <w:rFonts w:ascii="Times New Roman" w:eastAsia="Times New Roman" w:hAnsi="Times New Roman" w:cs="Times New Roman"/>
                <w:b/>
              </w:rPr>
              <w:t xml:space="preserve"> %</w:t>
            </w:r>
          </w:p>
        </w:tc>
      </w:tr>
      <w:tr w:rsidR="00A6083D" w:rsidRPr="00A6083D" w:rsidTr="00936858">
        <w:trPr>
          <w:trHeight w:val="227"/>
        </w:trPr>
        <w:tc>
          <w:tcPr>
            <w:tcW w:w="3000" w:type="dxa"/>
            <w:tcBorders>
              <w:left w:val="nil"/>
              <w:bottom w:val="nil"/>
              <w:right w:val="nil"/>
            </w:tcBorders>
            <w:vAlign w:val="center"/>
          </w:tcPr>
          <w:p w:rsidR="00A6083D" w:rsidRPr="00A6083D" w:rsidRDefault="00A6083D" w:rsidP="00A6083D">
            <w:pPr>
              <w:spacing w:after="0" w:line="240" w:lineRule="auto"/>
              <w:ind w:left="119"/>
              <w:rPr>
                <w:rFonts w:ascii="Times New Roman" w:eastAsia="Times New Roman" w:hAnsi="Times New Roman" w:cs="Times New Roman"/>
              </w:rPr>
            </w:pPr>
            <w:r w:rsidRPr="00A6083D">
              <w:rPr>
                <w:rFonts w:ascii="Times New Roman" w:eastAsia="Times New Roman" w:hAnsi="Times New Roman" w:cs="Times New Roman"/>
                <w:lang w:val="ru-RU"/>
              </w:rPr>
              <w:t>КО Доњи Матејевац</w:t>
            </w:r>
            <w:r w:rsidRPr="00A6083D">
              <w:rPr>
                <w:rFonts w:ascii="Times New Roman" w:eastAsia="Times New Roman" w:hAnsi="Times New Roman" w:cs="Times New Roman"/>
              </w:rPr>
              <w:t xml:space="preserve"> I</w:t>
            </w:r>
          </w:p>
        </w:tc>
        <w:tc>
          <w:tcPr>
            <w:tcW w:w="3109" w:type="dxa"/>
            <w:tcBorders>
              <w:left w:val="nil"/>
              <w:bottom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374,18</w:t>
            </w:r>
          </w:p>
        </w:tc>
        <w:tc>
          <w:tcPr>
            <w:tcW w:w="3020" w:type="dxa"/>
            <w:tcBorders>
              <w:left w:val="nil"/>
              <w:bottom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53,05</w:t>
            </w:r>
          </w:p>
        </w:tc>
      </w:tr>
      <w:tr w:rsidR="00A6083D" w:rsidRPr="00A6083D" w:rsidTr="00936858">
        <w:trPr>
          <w:trHeight w:val="227"/>
        </w:trPr>
        <w:tc>
          <w:tcPr>
            <w:tcW w:w="3000" w:type="dxa"/>
            <w:tcBorders>
              <w:top w:val="nil"/>
              <w:left w:val="nil"/>
              <w:bottom w:val="nil"/>
              <w:right w:val="nil"/>
            </w:tcBorders>
            <w:vAlign w:val="center"/>
          </w:tcPr>
          <w:p w:rsidR="00A6083D" w:rsidRPr="00A6083D" w:rsidRDefault="00A6083D" w:rsidP="00A6083D">
            <w:pPr>
              <w:spacing w:after="0" w:line="240" w:lineRule="auto"/>
              <w:ind w:left="119"/>
              <w:rPr>
                <w:rFonts w:ascii="Times New Roman" w:eastAsia="Times New Roman" w:hAnsi="Times New Roman" w:cs="Times New Roman"/>
                <w:lang w:val="ru-RU"/>
              </w:rPr>
            </w:pPr>
            <w:r w:rsidRPr="00A6083D">
              <w:rPr>
                <w:rFonts w:ascii="Times New Roman" w:eastAsia="Times New Roman" w:hAnsi="Times New Roman" w:cs="Times New Roman"/>
                <w:lang w:val="ru-RU"/>
              </w:rPr>
              <w:t>КО Доњи Матејевац</w:t>
            </w:r>
            <w:r w:rsidRPr="00A6083D">
              <w:rPr>
                <w:rFonts w:ascii="Times New Roman" w:eastAsia="Times New Roman" w:hAnsi="Times New Roman" w:cs="Times New Roman"/>
              </w:rPr>
              <w:t xml:space="preserve"> II</w:t>
            </w:r>
          </w:p>
        </w:tc>
        <w:tc>
          <w:tcPr>
            <w:tcW w:w="3109" w:type="dxa"/>
            <w:tcBorders>
              <w:top w:val="nil"/>
              <w:left w:val="nil"/>
              <w:bottom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6,62</w:t>
            </w:r>
          </w:p>
        </w:tc>
        <w:tc>
          <w:tcPr>
            <w:tcW w:w="3020" w:type="dxa"/>
            <w:tcBorders>
              <w:top w:val="nil"/>
              <w:left w:val="nil"/>
              <w:bottom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0,94</w:t>
            </w:r>
          </w:p>
        </w:tc>
      </w:tr>
      <w:tr w:rsidR="00A6083D" w:rsidRPr="00A6083D" w:rsidTr="00936858">
        <w:trPr>
          <w:trHeight w:val="227"/>
        </w:trPr>
        <w:tc>
          <w:tcPr>
            <w:tcW w:w="3000" w:type="dxa"/>
            <w:tcBorders>
              <w:top w:val="nil"/>
              <w:left w:val="nil"/>
              <w:bottom w:val="single" w:sz="4" w:space="0" w:color="auto"/>
              <w:right w:val="nil"/>
            </w:tcBorders>
            <w:vAlign w:val="center"/>
          </w:tcPr>
          <w:p w:rsidR="00A6083D" w:rsidRPr="00A6083D" w:rsidRDefault="00A6083D" w:rsidP="00A6083D">
            <w:pPr>
              <w:spacing w:after="0" w:line="240" w:lineRule="auto"/>
              <w:ind w:left="119"/>
              <w:rPr>
                <w:rFonts w:ascii="Times New Roman" w:eastAsia="Times New Roman" w:hAnsi="Times New Roman" w:cs="Times New Roman"/>
                <w:lang w:val="ru-RU"/>
              </w:rPr>
            </w:pPr>
            <w:r w:rsidRPr="00A6083D">
              <w:rPr>
                <w:rFonts w:ascii="Times New Roman" w:eastAsia="Times New Roman" w:hAnsi="Times New Roman" w:cs="Times New Roman"/>
                <w:lang w:val="ru-RU"/>
              </w:rPr>
              <w:t>КО Горњи Матејевац</w:t>
            </w:r>
          </w:p>
        </w:tc>
        <w:tc>
          <w:tcPr>
            <w:tcW w:w="3109" w:type="dxa"/>
            <w:tcBorders>
              <w:top w:val="nil"/>
              <w:left w:val="nil"/>
              <w:bottom w:val="single" w:sz="4" w:space="0" w:color="auto"/>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324,57</w:t>
            </w:r>
          </w:p>
        </w:tc>
        <w:tc>
          <w:tcPr>
            <w:tcW w:w="3020" w:type="dxa"/>
            <w:tcBorders>
              <w:top w:val="nil"/>
              <w:left w:val="nil"/>
              <w:bottom w:val="single" w:sz="4" w:space="0" w:color="auto"/>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rPr>
            </w:pPr>
            <w:r w:rsidRPr="00A6083D">
              <w:rPr>
                <w:rFonts w:ascii="Times New Roman" w:eastAsia="Times New Roman" w:hAnsi="Times New Roman" w:cs="Times New Roman"/>
              </w:rPr>
              <w:t>46,01</w:t>
            </w:r>
          </w:p>
        </w:tc>
      </w:tr>
      <w:tr w:rsidR="00A6083D" w:rsidRPr="00A6083D" w:rsidTr="00936858">
        <w:trPr>
          <w:trHeight w:val="227"/>
        </w:trPr>
        <w:tc>
          <w:tcPr>
            <w:tcW w:w="3000" w:type="dxa"/>
            <w:tcBorders>
              <w:top w:val="single" w:sz="4" w:space="0" w:color="auto"/>
              <w:left w:val="nil"/>
              <w:right w:val="nil"/>
            </w:tcBorders>
            <w:vAlign w:val="center"/>
          </w:tcPr>
          <w:p w:rsidR="00A6083D" w:rsidRPr="00A6083D" w:rsidRDefault="00A6083D" w:rsidP="00A6083D">
            <w:pPr>
              <w:spacing w:after="0" w:line="240" w:lineRule="auto"/>
              <w:ind w:left="119"/>
              <w:rPr>
                <w:rFonts w:ascii="Times New Roman" w:eastAsia="Times New Roman" w:hAnsi="Times New Roman" w:cs="Times New Roman"/>
                <w:b/>
              </w:rPr>
            </w:pPr>
            <w:proofErr w:type="spellStart"/>
            <w:r w:rsidRPr="00A6083D">
              <w:rPr>
                <w:rFonts w:ascii="Times New Roman" w:eastAsia="Times New Roman" w:hAnsi="Times New Roman" w:cs="Times New Roman"/>
                <w:b/>
              </w:rPr>
              <w:t>Укупно</w:t>
            </w:r>
            <w:proofErr w:type="spellEnd"/>
            <w:r w:rsidRPr="00A6083D">
              <w:rPr>
                <w:rFonts w:ascii="Times New Roman" w:eastAsia="Times New Roman" w:hAnsi="Times New Roman" w:cs="Times New Roman"/>
                <w:b/>
              </w:rPr>
              <w:t xml:space="preserve"> </w:t>
            </w:r>
            <w:proofErr w:type="spellStart"/>
            <w:r w:rsidRPr="00A6083D">
              <w:rPr>
                <w:rFonts w:ascii="Times New Roman" w:eastAsia="Times New Roman" w:hAnsi="Times New Roman" w:cs="Times New Roman"/>
                <w:b/>
              </w:rPr>
              <w:t>подручје</w:t>
            </w:r>
            <w:proofErr w:type="spellEnd"/>
            <w:r w:rsidRPr="00A6083D">
              <w:rPr>
                <w:rFonts w:ascii="Times New Roman" w:eastAsia="Times New Roman" w:hAnsi="Times New Roman" w:cs="Times New Roman"/>
                <w:b/>
              </w:rPr>
              <w:t xml:space="preserve"> </w:t>
            </w:r>
            <w:proofErr w:type="spellStart"/>
            <w:r w:rsidRPr="00A6083D">
              <w:rPr>
                <w:rFonts w:ascii="Times New Roman" w:eastAsia="Times New Roman" w:hAnsi="Times New Roman" w:cs="Times New Roman"/>
                <w:b/>
              </w:rPr>
              <w:t>Плана</w:t>
            </w:r>
            <w:proofErr w:type="spellEnd"/>
          </w:p>
        </w:tc>
        <w:tc>
          <w:tcPr>
            <w:tcW w:w="3109" w:type="dxa"/>
            <w:tcBorders>
              <w:top w:val="single" w:sz="4" w:space="0" w:color="auto"/>
              <w:left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b/>
              </w:rPr>
            </w:pPr>
            <w:r w:rsidRPr="00A6083D">
              <w:rPr>
                <w:rFonts w:ascii="Times New Roman" w:eastAsia="Times New Roman" w:hAnsi="Times New Roman" w:cs="Times New Roman"/>
                <w:b/>
              </w:rPr>
              <w:t>705,37</w:t>
            </w:r>
          </w:p>
        </w:tc>
        <w:tc>
          <w:tcPr>
            <w:tcW w:w="3020" w:type="dxa"/>
            <w:tcBorders>
              <w:top w:val="single" w:sz="4" w:space="0" w:color="auto"/>
              <w:left w:val="nil"/>
              <w:right w:val="nil"/>
            </w:tcBorders>
            <w:vAlign w:val="center"/>
          </w:tcPr>
          <w:p w:rsidR="00A6083D" w:rsidRPr="00A6083D" w:rsidRDefault="00A6083D" w:rsidP="00A6083D">
            <w:pPr>
              <w:spacing w:after="0" w:line="240" w:lineRule="auto"/>
              <w:ind w:left="119"/>
              <w:jc w:val="center"/>
              <w:rPr>
                <w:rFonts w:ascii="Times New Roman" w:eastAsia="Times New Roman" w:hAnsi="Times New Roman" w:cs="Times New Roman"/>
                <w:b/>
              </w:rPr>
            </w:pPr>
            <w:r w:rsidRPr="00A6083D">
              <w:rPr>
                <w:rFonts w:ascii="Times New Roman" w:eastAsia="Times New Roman" w:hAnsi="Times New Roman" w:cs="Times New Roman"/>
                <w:b/>
              </w:rPr>
              <w:t>100</w:t>
            </w:r>
          </w:p>
        </w:tc>
      </w:tr>
    </w:tbl>
    <w:p w:rsidR="00A6083D" w:rsidRPr="00A6083D" w:rsidRDefault="00A6083D" w:rsidP="00A6083D">
      <w:pPr>
        <w:spacing w:after="0" w:line="240" w:lineRule="auto"/>
        <w:ind w:firstLine="709"/>
        <w:jc w:val="both"/>
        <w:rPr>
          <w:rFonts w:ascii="Times New Roman" w:eastAsia="Times New Roman" w:hAnsi="Times New Roman" w:cs="Times New Roman"/>
          <w:lang w:val="sr-Cyrl-CS"/>
        </w:rPr>
      </w:pPr>
    </w:p>
    <w:p w:rsidR="00A6083D" w:rsidRPr="00A6083D" w:rsidRDefault="00A6083D" w:rsidP="00A6083D">
      <w:pPr>
        <w:spacing w:after="0" w:line="240" w:lineRule="auto"/>
        <w:ind w:firstLine="709"/>
        <w:jc w:val="both"/>
        <w:rPr>
          <w:rFonts w:ascii="Times New Roman" w:eastAsia="Times New Roman" w:hAnsi="Times New Roman" w:cs="Times New Roman"/>
          <w:lang w:val="sr-Cyrl-CS"/>
        </w:rPr>
      </w:pPr>
      <w:r w:rsidRPr="00A6083D">
        <w:rPr>
          <w:rFonts w:ascii="Times New Roman" w:eastAsia="Times New Roman" w:hAnsi="Times New Roman" w:cs="Times New Roman"/>
          <w:lang w:val="sr-Cyrl-CS"/>
        </w:rPr>
        <w:t xml:space="preserve">Урбанистичка целина „А“ се простире </w:t>
      </w:r>
      <w:r w:rsidRPr="00A6083D">
        <w:rPr>
          <w:rFonts w:ascii="Times New Roman" w:eastAsia="Times New Roman" w:hAnsi="Times New Roman" w:cs="Times New Roman"/>
        </w:rPr>
        <w:t xml:space="preserve">у </w:t>
      </w:r>
      <w:proofErr w:type="spellStart"/>
      <w:r w:rsidRPr="00A6083D">
        <w:rPr>
          <w:rFonts w:ascii="Times New Roman" w:eastAsia="Times New Roman" w:hAnsi="Times New Roman" w:cs="Times New Roman"/>
        </w:rPr>
        <w:t>северозападном</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делу</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планског</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обухвата</w:t>
      </w:r>
      <w:proofErr w:type="spellEnd"/>
      <w:r w:rsidRPr="00A6083D">
        <w:rPr>
          <w:rFonts w:ascii="Times New Roman" w:eastAsia="Times New Roman" w:hAnsi="Times New Roman" w:cs="Times New Roman"/>
        </w:rPr>
        <w:t xml:space="preserve"> и </w:t>
      </w:r>
      <w:proofErr w:type="spellStart"/>
      <w:r w:rsidRPr="00A6083D">
        <w:rPr>
          <w:rFonts w:ascii="Times New Roman" w:eastAsia="Times New Roman" w:hAnsi="Times New Roman" w:cs="Times New Roman"/>
        </w:rPr>
        <w:t>за</w:t>
      </w:r>
      <w:proofErr w:type="spellEnd"/>
      <w:r w:rsidRPr="00A6083D">
        <w:rPr>
          <w:rFonts w:ascii="Times New Roman" w:eastAsia="Times New Roman" w:hAnsi="Times New Roman" w:cs="Times New Roman"/>
          <w:lang w:val="sr-Cyrl-CS"/>
        </w:rPr>
        <w:t xml:space="preserve">хвата </w:t>
      </w:r>
      <w:proofErr w:type="spellStart"/>
      <w:r w:rsidRPr="00A6083D">
        <w:rPr>
          <w:rFonts w:ascii="Times New Roman" w:eastAsia="Times New Roman" w:hAnsi="Times New Roman" w:cs="Times New Roman"/>
        </w:rPr>
        <w:t>насеље</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Доњи</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Матејевац</w:t>
      </w:r>
      <w:proofErr w:type="spellEnd"/>
      <w:r w:rsidRPr="00A6083D">
        <w:rPr>
          <w:rFonts w:ascii="Times New Roman" w:eastAsia="Times New Roman" w:hAnsi="Times New Roman" w:cs="Times New Roman"/>
        </w:rPr>
        <w:t xml:space="preserve"> и </w:t>
      </w:r>
      <w:proofErr w:type="spellStart"/>
      <w:r w:rsidRPr="00A6083D">
        <w:rPr>
          <w:rFonts w:ascii="Times New Roman" w:eastAsia="Times New Roman" w:hAnsi="Times New Roman" w:cs="Times New Roman"/>
        </w:rPr>
        <w:t>рекреативну</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површину</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на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југу</w:t>
      </w:r>
      <w:proofErr w:type="spellEnd"/>
      <w:r w:rsidRPr="00A6083D">
        <w:rPr>
          <w:rFonts w:ascii="Times New Roman" w:eastAsia="Times New Roman" w:hAnsi="Times New Roman" w:cs="Times New Roman"/>
          <w:lang w:val="sr-Cyrl-CS"/>
        </w:rPr>
        <w:t xml:space="preserve">. </w:t>
      </w:r>
    </w:p>
    <w:p w:rsidR="00A6083D" w:rsidRPr="00A6083D" w:rsidRDefault="00A6083D" w:rsidP="00A6083D">
      <w:pPr>
        <w:spacing w:after="0" w:line="240" w:lineRule="auto"/>
        <w:ind w:firstLine="709"/>
        <w:jc w:val="both"/>
        <w:rPr>
          <w:rFonts w:ascii="Times New Roman" w:eastAsia="Times New Roman" w:hAnsi="Times New Roman" w:cs="Times New Roman"/>
        </w:rPr>
      </w:pPr>
      <w:r w:rsidRPr="00A6083D">
        <w:rPr>
          <w:rFonts w:ascii="Times New Roman" w:eastAsia="Times New Roman" w:hAnsi="Times New Roman" w:cs="Times New Roman"/>
          <w:lang w:val="sr-Cyrl-CS"/>
        </w:rPr>
        <w:t xml:space="preserve">Урбанистичка целина „Б“ се простире средишњим и </w:t>
      </w:r>
      <w:proofErr w:type="spellStart"/>
      <w:r w:rsidRPr="00A6083D">
        <w:rPr>
          <w:rFonts w:ascii="Times New Roman" w:eastAsia="Times New Roman" w:hAnsi="Times New Roman" w:cs="Times New Roman"/>
        </w:rPr>
        <w:t>североисточним</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делом</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планског</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подручја</w:t>
      </w:r>
      <w:proofErr w:type="spellEnd"/>
      <w:r w:rsidRPr="00A6083D">
        <w:rPr>
          <w:rFonts w:ascii="Times New Roman" w:eastAsia="Times New Roman" w:hAnsi="Times New Roman" w:cs="Times New Roman"/>
        </w:rPr>
        <w:t xml:space="preserve"> и</w:t>
      </w:r>
      <w:r w:rsidRPr="00A6083D">
        <w:rPr>
          <w:rFonts w:ascii="Times New Roman" w:eastAsia="Times New Roman" w:hAnsi="Times New Roman" w:cs="Times New Roman"/>
          <w:lang w:val="sr-Cyrl-CS"/>
        </w:rPr>
        <w:t xml:space="preserve"> захвата насеље Горњи Матејевац</w:t>
      </w:r>
      <w:r w:rsidRPr="00A6083D">
        <w:rPr>
          <w:rFonts w:ascii="Times New Roman" w:eastAsia="Times New Roman" w:hAnsi="Times New Roman" w:cs="Times New Roman"/>
        </w:rPr>
        <w:t xml:space="preserve">. </w:t>
      </w:r>
    </w:p>
    <w:p w:rsidR="00A6083D" w:rsidRPr="00A6083D" w:rsidRDefault="00A6083D" w:rsidP="00A6083D">
      <w:pPr>
        <w:spacing w:after="0" w:line="240" w:lineRule="auto"/>
        <w:ind w:firstLine="709"/>
        <w:jc w:val="both"/>
        <w:rPr>
          <w:rFonts w:ascii="Times New Roman" w:eastAsia="Times New Roman" w:hAnsi="Times New Roman" w:cs="Times New Roman"/>
        </w:rPr>
      </w:pPr>
      <w:proofErr w:type="spellStart"/>
      <w:r w:rsidRPr="00A6083D">
        <w:rPr>
          <w:rFonts w:ascii="Times New Roman" w:eastAsia="Times New Roman" w:hAnsi="Times New Roman" w:cs="Times New Roman"/>
        </w:rPr>
        <w:t>Урбани</w:t>
      </w:r>
      <w:proofErr w:type="spellEnd"/>
      <w:r w:rsidRPr="00A6083D">
        <w:rPr>
          <w:rFonts w:ascii="Times New Roman" w:eastAsia="Times New Roman" w:hAnsi="Times New Roman" w:cs="Times New Roman"/>
          <w:lang w:val="sr-Cyrl-RS"/>
        </w:rPr>
        <w:t>с</w:t>
      </w:r>
      <w:proofErr w:type="spellStart"/>
      <w:r w:rsidRPr="00A6083D">
        <w:rPr>
          <w:rFonts w:ascii="Times New Roman" w:eastAsia="Times New Roman" w:hAnsi="Times New Roman" w:cs="Times New Roman"/>
        </w:rPr>
        <w:t>тичка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целина</w:t>
      </w:r>
      <w:proofErr w:type="spellEnd"/>
      <w:r w:rsidRPr="00A6083D">
        <w:rPr>
          <w:rFonts w:ascii="Times New Roman" w:eastAsia="Times New Roman" w:hAnsi="Times New Roman" w:cs="Times New Roman"/>
        </w:rPr>
        <w:t xml:space="preserve"> „В</w:t>
      </w:r>
      <w:proofErr w:type="gramStart"/>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обухвата</w:t>
      </w:r>
      <w:proofErr w:type="spellEnd"/>
      <w:proofErr w:type="gram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јужни</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део</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планског</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обухвата</w:t>
      </w:r>
      <w:proofErr w:type="spellEnd"/>
      <w:r w:rsidRPr="00A6083D">
        <w:rPr>
          <w:rFonts w:ascii="Times New Roman" w:eastAsia="Times New Roman" w:hAnsi="Times New Roman" w:cs="Times New Roman"/>
        </w:rPr>
        <w:t>.</w:t>
      </w:r>
    </w:p>
    <w:p w:rsidR="00A6083D" w:rsidRPr="00A6083D" w:rsidRDefault="00A6083D" w:rsidP="00A6083D">
      <w:pPr>
        <w:widowControl w:val="0"/>
        <w:autoSpaceDE w:val="0"/>
        <w:autoSpaceDN w:val="0"/>
        <w:adjustRightInd w:val="0"/>
        <w:spacing w:after="0" w:line="240" w:lineRule="auto"/>
        <w:ind w:firstLine="709"/>
        <w:jc w:val="both"/>
        <w:rPr>
          <w:rFonts w:ascii="Times New Roman" w:eastAsia="Times New Roman" w:hAnsi="Times New Roman" w:cs="Times New Roman"/>
        </w:rPr>
      </w:pPr>
      <w:proofErr w:type="spellStart"/>
      <w:r w:rsidRPr="00A6083D">
        <w:rPr>
          <w:rFonts w:ascii="Times New Roman" w:eastAsia="Times New Roman" w:hAnsi="Times New Roman" w:cs="Times New Roman"/>
        </w:rPr>
        <w:t>Урбани</w:t>
      </w:r>
      <w:proofErr w:type="spellEnd"/>
      <w:r w:rsidRPr="00A6083D">
        <w:rPr>
          <w:rFonts w:ascii="Times New Roman" w:eastAsia="Times New Roman" w:hAnsi="Times New Roman" w:cs="Times New Roman"/>
          <w:lang w:val="sr-Cyrl-RS"/>
        </w:rPr>
        <w:t>с</w:t>
      </w:r>
      <w:proofErr w:type="spellStart"/>
      <w:r w:rsidRPr="00A6083D">
        <w:rPr>
          <w:rFonts w:ascii="Times New Roman" w:eastAsia="Times New Roman" w:hAnsi="Times New Roman" w:cs="Times New Roman"/>
        </w:rPr>
        <w:t>тичка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целина</w:t>
      </w:r>
      <w:proofErr w:type="spellEnd"/>
      <w:r w:rsidRPr="00A6083D">
        <w:rPr>
          <w:rFonts w:ascii="Times New Roman" w:eastAsia="Times New Roman" w:hAnsi="Times New Roman" w:cs="Times New Roman"/>
        </w:rPr>
        <w:t xml:space="preserve"> „Г</w:t>
      </w:r>
      <w:proofErr w:type="gramStart"/>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представља</w:t>
      </w:r>
      <w:proofErr w:type="spellEnd"/>
      <w:proofErr w:type="gram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издвојену</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енклаву</w:t>
      </w:r>
      <w:proofErr w:type="spellEnd"/>
      <w:r w:rsidRPr="00A6083D">
        <w:rPr>
          <w:rFonts w:ascii="Times New Roman" w:eastAsia="Times New Roman" w:hAnsi="Times New Roman" w:cs="Times New Roman"/>
        </w:rPr>
        <w:t xml:space="preserve"> у </w:t>
      </w:r>
      <w:proofErr w:type="spellStart"/>
      <w:r w:rsidRPr="00A6083D">
        <w:rPr>
          <w:rFonts w:ascii="Times New Roman" w:eastAsia="Times New Roman" w:hAnsi="Times New Roman" w:cs="Times New Roman"/>
        </w:rPr>
        <w:t>југозападном</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делу</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планског</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подручја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северно</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од</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постојећ</w:t>
      </w:r>
      <w:proofErr w:type="spellEnd"/>
      <w:r w:rsidRPr="00A6083D">
        <w:rPr>
          <w:rFonts w:ascii="Times New Roman" w:eastAsia="Times New Roman" w:hAnsi="Times New Roman" w:cs="Times New Roman"/>
          <w:lang w:val="sr-Cyrl-RS"/>
        </w:rPr>
        <w:t>е</w:t>
      </w:r>
      <w:r w:rsidRPr="00A6083D">
        <w:rPr>
          <w:rFonts w:ascii="Times New Roman" w:eastAsia="Times New Roman" w:hAnsi="Times New Roman" w:cs="Times New Roman"/>
        </w:rPr>
        <w:t xml:space="preserve">г </w:t>
      </w:r>
      <w:proofErr w:type="spellStart"/>
      <w:r w:rsidRPr="00A6083D">
        <w:rPr>
          <w:rFonts w:ascii="Times New Roman" w:eastAsia="Times New Roman" w:hAnsi="Times New Roman" w:cs="Times New Roman"/>
        </w:rPr>
        <w:t>аутопута</w:t>
      </w:r>
      <w:proofErr w:type="spellEnd"/>
      <w:r w:rsidRPr="00A6083D">
        <w:rPr>
          <w:rFonts w:ascii="Times New Roman" w:eastAsia="Times New Roman" w:hAnsi="Times New Roman" w:cs="Times New Roman"/>
        </w:rPr>
        <w:t xml:space="preserve"> Е-80</w:t>
      </w:r>
      <w:r w:rsidRPr="00A6083D">
        <w:rPr>
          <w:rFonts w:ascii="Times New Roman" w:eastAsia="Times New Roman" w:hAnsi="Times New Roman" w:cs="Times New Roman"/>
          <w:lang w:val="sr-Cyrl-RS"/>
        </w:rPr>
        <w:t>.</w:t>
      </w:r>
      <w:r w:rsidRPr="00A6083D">
        <w:rPr>
          <w:rFonts w:ascii="Times New Roman" w:eastAsia="Times New Roman" w:hAnsi="Times New Roman" w:cs="Times New Roman"/>
        </w:rPr>
        <w:t xml:space="preserve"> </w:t>
      </w:r>
    </w:p>
    <w:p w:rsidR="00A6083D" w:rsidRPr="00A6083D" w:rsidRDefault="00A6083D" w:rsidP="00A6083D">
      <w:pPr>
        <w:widowControl w:val="0"/>
        <w:autoSpaceDE w:val="0"/>
        <w:autoSpaceDN w:val="0"/>
        <w:adjustRightInd w:val="0"/>
        <w:spacing w:after="0" w:line="240" w:lineRule="auto"/>
        <w:ind w:firstLine="709"/>
        <w:jc w:val="both"/>
        <w:rPr>
          <w:rFonts w:ascii="Times New Roman" w:eastAsia="Times New Roman" w:hAnsi="Times New Roman" w:cs="Times New Roman"/>
          <w:lang w:val="ru-RU"/>
        </w:rPr>
      </w:pPr>
      <w:proofErr w:type="spellStart"/>
      <w:r w:rsidRPr="00A6083D">
        <w:rPr>
          <w:rFonts w:ascii="Times New Roman" w:eastAsia="Times New Roman" w:hAnsi="Times New Roman" w:cs="Times New Roman"/>
        </w:rPr>
        <w:t>Урбан</w:t>
      </w:r>
      <w:proofErr w:type="spellEnd"/>
      <w:r w:rsidRPr="00A6083D">
        <w:rPr>
          <w:rFonts w:ascii="Times New Roman" w:eastAsia="Times New Roman" w:hAnsi="Times New Roman" w:cs="Times New Roman"/>
          <w:lang w:val="sr-Cyrl-RS"/>
        </w:rPr>
        <w:t>и</w:t>
      </w:r>
      <w:proofErr w:type="spellStart"/>
      <w:r w:rsidRPr="00A6083D">
        <w:rPr>
          <w:rFonts w:ascii="Times New Roman" w:eastAsia="Times New Roman" w:hAnsi="Times New Roman" w:cs="Times New Roman"/>
        </w:rPr>
        <w:t>стичка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целина</w:t>
      </w:r>
      <w:proofErr w:type="spellEnd"/>
      <w:r w:rsidRPr="00A6083D">
        <w:rPr>
          <w:rFonts w:ascii="Times New Roman" w:eastAsia="Times New Roman" w:hAnsi="Times New Roman" w:cs="Times New Roman"/>
        </w:rPr>
        <w:t xml:space="preserve"> „Д</w:t>
      </w:r>
      <w:proofErr w:type="gramStart"/>
      <w:r w:rsidRPr="00A6083D">
        <w:rPr>
          <w:rFonts w:ascii="Times New Roman" w:eastAsia="Times New Roman" w:hAnsi="Times New Roman" w:cs="Times New Roman"/>
        </w:rPr>
        <w:t xml:space="preserve">“ </w:t>
      </w:r>
      <w:r w:rsidRPr="00A6083D">
        <w:rPr>
          <w:rFonts w:ascii="Times New Roman" w:eastAsia="Times New Roman" w:hAnsi="Times New Roman" w:cs="Times New Roman"/>
          <w:lang w:val="ru-RU"/>
        </w:rPr>
        <w:t>представља</w:t>
      </w:r>
      <w:proofErr w:type="gramEnd"/>
      <w:r w:rsidRPr="00A6083D">
        <w:rPr>
          <w:rFonts w:ascii="Times New Roman" w:eastAsia="Times New Roman" w:hAnsi="Times New Roman" w:cs="Times New Roman"/>
          <w:lang w:val="ru-RU"/>
        </w:rPr>
        <w:t xml:space="preserve"> Просторним планом инфраструктурног коридора резервисани коридор ширине 400 </w:t>
      </w:r>
      <w:r w:rsidRPr="00A6083D">
        <w:rPr>
          <w:rFonts w:ascii="Times New Roman" w:eastAsia="Times New Roman" w:hAnsi="Times New Roman" w:cs="Times New Roman"/>
        </w:rPr>
        <w:t xml:space="preserve">m </w:t>
      </w:r>
      <w:proofErr w:type="spellStart"/>
      <w:r w:rsidRPr="00A6083D">
        <w:rPr>
          <w:rFonts w:ascii="Times New Roman" w:eastAsia="Times New Roman" w:hAnsi="Times New Roman" w:cs="Times New Roman"/>
        </w:rPr>
        <w:t>за</w:t>
      </w:r>
      <w:proofErr w:type="spellEnd"/>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потребе</w:t>
      </w:r>
      <w:proofErr w:type="spellEnd"/>
      <w:r w:rsidRPr="00A6083D">
        <w:rPr>
          <w:rFonts w:ascii="Times New Roman" w:eastAsia="Times New Roman" w:hAnsi="Times New Roman" w:cs="Times New Roman"/>
        </w:rPr>
        <w:t xml:space="preserve"> </w:t>
      </w:r>
      <w:r w:rsidRPr="00A6083D">
        <w:rPr>
          <w:rFonts w:ascii="Times New Roman" w:eastAsia="Times New Roman" w:hAnsi="Times New Roman" w:cs="Times New Roman"/>
          <w:lang w:val="ru-RU"/>
        </w:rPr>
        <w:t xml:space="preserve">северне обилазнице аутопута око Ниша. </w:t>
      </w:r>
    </w:p>
    <w:p w:rsidR="00A6083D" w:rsidRPr="00A6083D" w:rsidRDefault="00A6083D" w:rsidP="00A6083D">
      <w:pPr>
        <w:spacing w:after="0" w:line="240" w:lineRule="auto"/>
        <w:ind w:firstLine="709"/>
        <w:jc w:val="both"/>
        <w:rPr>
          <w:rFonts w:ascii="Times New Roman" w:eastAsia="Times New Roman" w:hAnsi="Times New Roman" w:cs="Times New Roman"/>
          <w:lang w:val="ru-RU"/>
        </w:rPr>
      </w:pPr>
      <w:r w:rsidRPr="00A6083D">
        <w:rPr>
          <w:rFonts w:ascii="Times New Roman" w:eastAsia="Times New Roman" w:hAnsi="Times New Roman" w:cs="Times New Roman"/>
          <w:lang w:val="ru-RU"/>
        </w:rPr>
        <w:t>Планом се утврђују намене површина у грађевинском подручју, границе површина за јавне и остале намене, трасе, коридори и капацитети за саобраћајну, енергетску, комуналну и другу инфраструктуру</w:t>
      </w:r>
      <w:r w:rsidRPr="00A6083D">
        <w:rPr>
          <w:rFonts w:ascii="Times New Roman" w:eastAsia="Times New Roman" w:hAnsi="Times New Roman" w:cs="Times New Roman"/>
        </w:rPr>
        <w:t xml:space="preserve">, </w:t>
      </w:r>
      <w:proofErr w:type="spellStart"/>
      <w:r w:rsidRPr="00A6083D">
        <w:rPr>
          <w:rFonts w:ascii="Times New Roman" w:eastAsia="Times New Roman" w:hAnsi="Times New Roman" w:cs="Times New Roman"/>
        </w:rPr>
        <w:t>као</w:t>
      </w:r>
      <w:proofErr w:type="spellEnd"/>
      <w:r w:rsidRPr="00A6083D">
        <w:rPr>
          <w:rFonts w:ascii="Times New Roman" w:eastAsia="Times New Roman" w:hAnsi="Times New Roman" w:cs="Times New Roman"/>
          <w:lang w:val="ru-RU"/>
        </w:rPr>
        <w:t xml:space="preserve"> и остали Законом и Правилником прописани садржаји плана генералне регулације. </w:t>
      </w:r>
    </w:p>
    <w:p w:rsidR="00A6083D" w:rsidRPr="00A6083D" w:rsidRDefault="00A6083D" w:rsidP="00A6083D">
      <w:pPr>
        <w:spacing w:after="0" w:line="240" w:lineRule="auto"/>
        <w:ind w:firstLine="709"/>
        <w:jc w:val="both"/>
        <w:rPr>
          <w:rFonts w:ascii="Times New Roman" w:eastAsia="Times New Roman" w:hAnsi="Times New Roman" w:cs="Times New Roman"/>
        </w:rPr>
      </w:pPr>
      <w:r w:rsidRPr="00A6083D">
        <w:rPr>
          <w:rFonts w:ascii="Times New Roman" w:eastAsia="Times New Roman" w:hAnsi="Times New Roman" w:cs="Times New Roman"/>
          <w:lang w:val="ru-RU"/>
        </w:rPr>
        <w:t xml:space="preserve">План утврђује услове за издавање локацијске дозволе за уређење простора и изградњу објеката за делове у којима се он спроводи директно, као и услове за израду урбанистичких пројеката за делове у којима је њихова израда предвиђена. </w:t>
      </w:r>
    </w:p>
    <w:p w:rsidR="00A6083D" w:rsidRPr="00A6083D" w:rsidRDefault="00A6083D" w:rsidP="00A6083D">
      <w:pPr>
        <w:widowControl w:val="0"/>
        <w:autoSpaceDE w:val="0"/>
        <w:autoSpaceDN w:val="0"/>
        <w:adjustRightInd w:val="0"/>
        <w:spacing w:after="0" w:line="240" w:lineRule="auto"/>
        <w:ind w:left="119"/>
        <w:jc w:val="center"/>
        <w:rPr>
          <w:rFonts w:ascii="Times New Roman" w:eastAsia="Times New Roman" w:hAnsi="Times New Roman" w:cs="Times New Roman"/>
          <w:b/>
        </w:rPr>
      </w:pPr>
    </w:p>
    <w:p w:rsidR="00A6083D" w:rsidRDefault="00A6083D" w:rsidP="00A6083D">
      <w:pPr>
        <w:widowControl w:val="0"/>
        <w:autoSpaceDE w:val="0"/>
        <w:autoSpaceDN w:val="0"/>
        <w:adjustRightInd w:val="0"/>
        <w:spacing w:after="0" w:line="240" w:lineRule="auto"/>
        <w:ind w:left="119"/>
        <w:jc w:val="center"/>
        <w:rPr>
          <w:rFonts w:ascii="Times New Roman" w:eastAsia="Times New Roman" w:hAnsi="Times New Roman" w:cs="Times New Roman"/>
          <w:b/>
        </w:rPr>
      </w:pPr>
    </w:p>
    <w:p w:rsidR="00951630" w:rsidRPr="00951630" w:rsidRDefault="00951630" w:rsidP="00A6083D">
      <w:pPr>
        <w:widowControl w:val="0"/>
        <w:autoSpaceDE w:val="0"/>
        <w:autoSpaceDN w:val="0"/>
        <w:adjustRightInd w:val="0"/>
        <w:spacing w:after="0" w:line="240" w:lineRule="auto"/>
        <w:ind w:left="119"/>
        <w:jc w:val="center"/>
        <w:rPr>
          <w:rFonts w:ascii="Times New Roman" w:eastAsia="Times New Roman" w:hAnsi="Times New Roman" w:cs="Times New Roman"/>
          <w:b/>
        </w:rPr>
        <w:sectPr w:rsidR="00951630" w:rsidRPr="00951630" w:rsidSect="00171B68">
          <w:footerReference w:type="even" r:id="rId7"/>
          <w:pgSz w:w="11909" w:h="16834" w:code="9"/>
          <w:pgMar w:top="1134" w:right="1418" w:bottom="1134" w:left="1418" w:header="709" w:footer="709" w:gutter="0"/>
          <w:pgNumType w:start="1"/>
          <w:cols w:space="720"/>
          <w:noEndnote/>
          <w:docGrid w:linePitch="326"/>
        </w:sectPr>
      </w:pPr>
      <w:bookmarkStart w:id="0" w:name="_GoBack"/>
      <w:bookmarkEnd w:id="0"/>
    </w:p>
    <w:p w:rsidR="00A6083D" w:rsidRPr="00A6083D" w:rsidRDefault="00A6083D" w:rsidP="00A6083D">
      <w:pPr>
        <w:widowControl w:val="0"/>
        <w:autoSpaceDE w:val="0"/>
        <w:autoSpaceDN w:val="0"/>
        <w:adjustRightInd w:val="0"/>
        <w:spacing w:after="0" w:line="240" w:lineRule="auto"/>
        <w:ind w:left="-567"/>
        <w:jc w:val="center"/>
        <w:rPr>
          <w:rFonts w:ascii="Times New Roman" w:eastAsia="Times New Roman" w:hAnsi="Times New Roman" w:cs="Times New Roman"/>
          <w:b/>
          <w:lang w:val="sr-Cyrl-CS"/>
        </w:rPr>
      </w:pPr>
      <w:r w:rsidRPr="00A6083D">
        <w:rPr>
          <w:rFonts w:ascii="Times New Roman" w:eastAsia="Times New Roman" w:hAnsi="Times New Roman" w:cs="Times New Roman"/>
          <w:b/>
          <w:lang w:val="sr-Cyrl-CS"/>
        </w:rPr>
        <w:lastRenderedPageBreak/>
        <w:t xml:space="preserve">ЈАВНО ПРЕДУЗЕЋЕ </w:t>
      </w:r>
    </w:p>
    <w:p w:rsidR="00A6083D" w:rsidRPr="00A6083D" w:rsidRDefault="00A6083D" w:rsidP="00A6083D">
      <w:pPr>
        <w:widowControl w:val="0"/>
        <w:autoSpaceDE w:val="0"/>
        <w:autoSpaceDN w:val="0"/>
        <w:adjustRightInd w:val="0"/>
        <w:spacing w:after="0" w:line="240" w:lineRule="auto"/>
        <w:ind w:left="119"/>
        <w:jc w:val="center"/>
        <w:rPr>
          <w:rFonts w:ascii="Times New Roman" w:eastAsia="Times New Roman" w:hAnsi="Times New Roman" w:cs="Times New Roman"/>
          <w:b/>
          <w:lang w:val="sr-Cyrl-CS"/>
        </w:rPr>
      </w:pPr>
      <w:r w:rsidRPr="00A6083D">
        <w:rPr>
          <w:rFonts w:ascii="Times New Roman" w:eastAsia="Times New Roman" w:hAnsi="Times New Roman" w:cs="Times New Roman"/>
          <w:b/>
          <w:lang w:val="sr-Cyrl-CS"/>
        </w:rPr>
        <w:t>ЗАВОД ЗА УРБАНИЗАМ НИШ</w:t>
      </w:r>
    </w:p>
    <w:p w:rsidR="00A6083D" w:rsidRPr="00A6083D" w:rsidRDefault="00A6083D" w:rsidP="00A6083D">
      <w:pPr>
        <w:spacing w:after="0" w:line="240" w:lineRule="auto"/>
        <w:ind w:left="119"/>
        <w:jc w:val="center"/>
        <w:outlineLvl w:val="0"/>
        <w:rPr>
          <w:rFonts w:ascii="Times New Roman" w:eastAsia="Times New Roman" w:hAnsi="Times New Roman" w:cs="Times New Roman"/>
          <w:b/>
          <w:bCs/>
          <w:lang w:val="sr-Cyrl-CS" w:eastAsia="sr-Latn-CS"/>
        </w:rPr>
      </w:pPr>
      <w:r w:rsidRPr="00A6083D">
        <w:rPr>
          <w:rFonts w:ascii="Times New Roman" w:eastAsia="Times New Roman" w:hAnsi="Times New Roman" w:cs="Times New Roman"/>
          <w:bCs/>
          <w:lang w:val="sr-Cyrl-CS" w:eastAsia="sr-Latn-CS"/>
        </w:rPr>
        <w:t>Директор</w:t>
      </w:r>
    </w:p>
    <w:p w:rsidR="00A6083D" w:rsidRPr="00A6083D" w:rsidRDefault="00A6083D" w:rsidP="00A6083D">
      <w:pPr>
        <w:spacing w:after="0" w:line="240" w:lineRule="auto"/>
        <w:ind w:left="119"/>
        <w:jc w:val="center"/>
        <w:rPr>
          <w:rFonts w:ascii="Times New Roman" w:eastAsia="Times New Roman" w:hAnsi="Times New Roman" w:cs="Times New Roman"/>
          <w:b/>
          <w:bCs/>
          <w:lang w:val="sr-Cyrl-CS" w:eastAsia="sr-Latn-CS"/>
        </w:rPr>
      </w:pPr>
      <w:r w:rsidRPr="00A6083D">
        <w:rPr>
          <w:rFonts w:ascii="Times New Roman" w:eastAsia="Times New Roman" w:hAnsi="Times New Roman" w:cs="Times New Roman"/>
          <w:b/>
          <w:bCs/>
          <w:lang w:val="sr-Cyrl-CS" w:eastAsia="sr-Latn-CS"/>
        </w:rPr>
        <w:t>__________________________</w:t>
      </w:r>
      <w:r w:rsidRPr="00A6083D">
        <w:rPr>
          <w:rFonts w:ascii="Times New Roman" w:eastAsia="Times New Roman" w:hAnsi="Times New Roman" w:cs="Times New Roman"/>
          <w:b/>
          <w:bCs/>
          <w:lang w:eastAsia="sr-Latn-CS"/>
        </w:rPr>
        <w:t>_</w:t>
      </w:r>
      <w:r w:rsidRPr="00A6083D">
        <w:rPr>
          <w:rFonts w:ascii="Times New Roman" w:eastAsia="Times New Roman" w:hAnsi="Times New Roman" w:cs="Times New Roman"/>
          <w:b/>
          <w:bCs/>
          <w:lang w:val="sr-Cyrl-CS" w:eastAsia="sr-Latn-CS"/>
        </w:rPr>
        <w:t>__</w:t>
      </w:r>
    </w:p>
    <w:p w:rsidR="00A6083D" w:rsidRPr="00A6083D" w:rsidRDefault="00A6083D" w:rsidP="00A6083D">
      <w:pPr>
        <w:spacing w:after="0" w:line="240" w:lineRule="auto"/>
        <w:ind w:left="119"/>
        <w:jc w:val="center"/>
        <w:rPr>
          <w:rFonts w:ascii="Times New Roman" w:eastAsia="Times New Roman" w:hAnsi="Times New Roman" w:cs="Times New Roman"/>
          <w:bCs/>
          <w:lang w:val="sr-Cyrl-CS" w:eastAsia="sr-Latn-CS"/>
        </w:rPr>
      </w:pPr>
      <w:r w:rsidRPr="00A6083D">
        <w:rPr>
          <w:rFonts w:ascii="Times New Roman" w:eastAsia="Times New Roman" w:hAnsi="Times New Roman" w:cs="Times New Roman"/>
          <w:bCs/>
          <w:lang w:val="sr-Cyrl-CS" w:eastAsia="sr-Latn-CS"/>
        </w:rPr>
        <w:t>Мр Мирољуб Станковић, дипл.инж.арх</w:t>
      </w:r>
    </w:p>
    <w:p w:rsidR="00A6083D" w:rsidRPr="00A6083D" w:rsidRDefault="00A6083D" w:rsidP="00A6083D">
      <w:pPr>
        <w:spacing w:after="0" w:line="240" w:lineRule="auto"/>
        <w:ind w:left="119"/>
        <w:jc w:val="center"/>
        <w:rPr>
          <w:rFonts w:ascii="Times New Roman" w:eastAsia="Times New Roman" w:hAnsi="Times New Roman" w:cs="Times New Roman"/>
          <w:bCs/>
          <w:lang w:val="sr-Cyrl-CS" w:eastAsia="sr-Latn-CS"/>
        </w:rPr>
      </w:pPr>
    </w:p>
    <w:p w:rsidR="00A6083D" w:rsidRPr="00A6083D" w:rsidRDefault="00A6083D" w:rsidP="00A6083D">
      <w:pPr>
        <w:spacing w:after="0" w:line="240" w:lineRule="auto"/>
        <w:ind w:left="-709"/>
        <w:jc w:val="center"/>
        <w:rPr>
          <w:rFonts w:ascii="Times New Roman" w:eastAsia="Times New Roman" w:hAnsi="Times New Roman" w:cs="Times New Roman"/>
          <w:b/>
          <w:bCs/>
          <w:lang w:val="sr-Cyrl-CS" w:eastAsia="sr-Latn-CS"/>
        </w:rPr>
      </w:pPr>
      <w:r w:rsidRPr="00A6083D">
        <w:rPr>
          <w:rFonts w:ascii="Times New Roman" w:eastAsia="Times New Roman" w:hAnsi="Times New Roman" w:cs="Times New Roman"/>
          <w:b/>
          <w:bCs/>
          <w:lang w:val="sr-Cyrl-CS" w:eastAsia="sr-Latn-CS"/>
        </w:rPr>
        <w:lastRenderedPageBreak/>
        <w:t>ГРАДСКА УПРАВА ГРАДА НИША</w:t>
      </w:r>
    </w:p>
    <w:p w:rsidR="00A6083D" w:rsidRPr="00A6083D" w:rsidRDefault="00A6083D" w:rsidP="00A6083D">
      <w:pPr>
        <w:spacing w:after="0" w:line="240" w:lineRule="auto"/>
        <w:ind w:left="-567"/>
        <w:jc w:val="center"/>
        <w:rPr>
          <w:rFonts w:ascii="Times New Roman" w:eastAsia="Times New Roman" w:hAnsi="Times New Roman" w:cs="Times New Roman"/>
          <w:b/>
          <w:bCs/>
          <w:lang w:val="sr-Cyrl-CS" w:eastAsia="sr-Latn-CS"/>
        </w:rPr>
      </w:pPr>
      <w:r w:rsidRPr="00A6083D">
        <w:rPr>
          <w:rFonts w:ascii="Times New Roman" w:eastAsia="Times New Roman" w:hAnsi="Times New Roman" w:cs="Times New Roman"/>
          <w:b/>
          <w:bCs/>
          <w:lang w:val="sr-Cyrl-CS" w:eastAsia="sr-Latn-CS"/>
        </w:rPr>
        <w:t>Секретаријат за планирање и изградњу</w:t>
      </w:r>
    </w:p>
    <w:p w:rsidR="00A6083D" w:rsidRPr="00A6083D" w:rsidRDefault="00A6083D" w:rsidP="00A6083D">
      <w:pPr>
        <w:spacing w:after="0" w:line="240" w:lineRule="auto"/>
        <w:ind w:left="-709"/>
        <w:jc w:val="center"/>
        <w:rPr>
          <w:rFonts w:ascii="Times New Roman" w:eastAsia="Times New Roman" w:hAnsi="Times New Roman" w:cs="Times New Roman"/>
          <w:bCs/>
          <w:lang w:val="sr-Cyrl-CS" w:eastAsia="sr-Latn-CS"/>
        </w:rPr>
      </w:pPr>
      <w:r w:rsidRPr="00A6083D">
        <w:rPr>
          <w:rFonts w:ascii="Times New Roman" w:eastAsia="Times New Roman" w:hAnsi="Times New Roman" w:cs="Times New Roman"/>
          <w:bCs/>
          <w:lang w:val="sr-Cyrl-CS" w:eastAsia="sr-Latn-CS"/>
        </w:rPr>
        <w:t>Секретар</w:t>
      </w:r>
    </w:p>
    <w:p w:rsidR="00A6083D" w:rsidRPr="00A6083D" w:rsidRDefault="00A6083D" w:rsidP="00A6083D">
      <w:pPr>
        <w:spacing w:after="0" w:line="240" w:lineRule="auto"/>
        <w:ind w:left="119"/>
        <w:jc w:val="center"/>
        <w:rPr>
          <w:rFonts w:ascii="Times New Roman" w:eastAsia="Times New Roman" w:hAnsi="Times New Roman" w:cs="Times New Roman"/>
          <w:bCs/>
          <w:lang w:val="sr-Cyrl-CS" w:eastAsia="sr-Latn-CS"/>
        </w:rPr>
      </w:pPr>
      <w:r w:rsidRPr="00A6083D">
        <w:rPr>
          <w:rFonts w:ascii="Times New Roman" w:eastAsia="Times New Roman" w:hAnsi="Times New Roman" w:cs="Times New Roman"/>
          <w:bCs/>
          <w:lang w:val="sr-Cyrl-CS" w:eastAsia="sr-Latn-CS"/>
        </w:rPr>
        <w:t>___________________________</w:t>
      </w:r>
    </w:p>
    <w:p w:rsidR="00A6083D" w:rsidRPr="00A6083D" w:rsidRDefault="00A6083D" w:rsidP="00A6083D">
      <w:pPr>
        <w:spacing w:after="0" w:line="240" w:lineRule="auto"/>
        <w:ind w:left="-567"/>
        <w:jc w:val="center"/>
        <w:rPr>
          <w:rFonts w:ascii="Times New Roman" w:eastAsia="Times New Roman" w:hAnsi="Times New Roman" w:cs="Times New Roman"/>
          <w:b/>
          <w:bCs/>
          <w:lang w:eastAsia="sr-Latn-CS"/>
        </w:rPr>
        <w:sectPr w:rsidR="00A6083D" w:rsidRPr="00A6083D" w:rsidSect="007D599D">
          <w:type w:val="continuous"/>
          <w:pgSz w:w="11909" w:h="16834" w:code="9"/>
          <w:pgMar w:top="1134" w:right="1418" w:bottom="1134" w:left="1418" w:header="709" w:footer="709" w:gutter="0"/>
          <w:pgNumType w:start="1"/>
          <w:cols w:num="2" w:space="283"/>
          <w:noEndnote/>
          <w:titlePg/>
          <w:docGrid w:linePitch="326"/>
        </w:sectPr>
      </w:pPr>
      <w:r w:rsidRPr="00A6083D">
        <w:rPr>
          <w:rFonts w:ascii="Times New Roman" w:eastAsia="Times New Roman" w:hAnsi="Times New Roman" w:cs="Times New Roman"/>
          <w:b/>
          <w:bCs/>
          <w:lang w:val="sr-Cyrl-CS" w:eastAsia="sr-Latn-CS"/>
        </w:rPr>
        <w:t>Игор Игић, дипл.инж.грађ</w:t>
      </w:r>
      <w:r w:rsidRPr="00A6083D">
        <w:rPr>
          <w:rFonts w:ascii="Times New Roman" w:eastAsia="Times New Roman" w:hAnsi="Times New Roman" w:cs="Times New Roman"/>
          <w:b/>
          <w:bCs/>
          <w:lang w:eastAsia="sr-Latn-CS"/>
        </w:rPr>
        <w:t>.</w:t>
      </w:r>
    </w:p>
    <w:p w:rsidR="00963515" w:rsidRDefault="00963515"/>
    <w:sectPr w:rsidR="00963515" w:rsidSect="007D599D">
      <w:headerReference w:type="even" r:id="rId8"/>
      <w:headerReference w:type="default" r:id="rId9"/>
      <w:footerReference w:type="even" r:id="rId10"/>
      <w:footerReference w:type="default" r:id="rId11"/>
      <w:footerReference w:type="first" r:id="rId12"/>
      <w:type w:val="continuous"/>
      <w:pgSz w:w="11909" w:h="16834" w:code="9"/>
      <w:pgMar w:top="1134" w:right="1418" w:bottom="1134" w:left="1418" w:header="709" w:footer="70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DB" w:rsidRDefault="002118DB">
      <w:pPr>
        <w:spacing w:after="0" w:line="240" w:lineRule="auto"/>
      </w:pPr>
      <w:r>
        <w:separator/>
      </w:r>
    </w:p>
  </w:endnote>
  <w:endnote w:type="continuationSeparator" w:id="0">
    <w:p w:rsidR="002118DB" w:rsidRDefault="0021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68" w:rsidRDefault="00A6083D">
    <w:pPr>
      <w:pStyle w:val="Footer"/>
      <w:jc w:val="right"/>
    </w:pPr>
    <w:r>
      <w:fldChar w:fldCharType="begin"/>
    </w:r>
    <w:r>
      <w:instrText xml:space="preserve"> PAGE   \* MERGEFORMAT </w:instrText>
    </w:r>
    <w:r>
      <w:fldChar w:fldCharType="separate"/>
    </w:r>
    <w:r>
      <w:rPr>
        <w:noProof/>
      </w:rPr>
      <w:t>2</w:t>
    </w:r>
    <w:r>
      <w:rPr>
        <w:noProof/>
      </w:rPr>
      <w:fldChar w:fldCharType="end"/>
    </w:r>
  </w:p>
  <w:p w:rsidR="00171B68" w:rsidRPr="00987FFB" w:rsidRDefault="002118DB" w:rsidP="00853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1B" w:rsidRPr="00987FFB" w:rsidRDefault="002118DB" w:rsidP="00853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1B" w:rsidRPr="00987FFB" w:rsidRDefault="002118DB" w:rsidP="008533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1B" w:rsidRPr="006C4274" w:rsidRDefault="002118DB" w:rsidP="006C4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DB" w:rsidRDefault="002118DB">
      <w:pPr>
        <w:spacing w:after="0" w:line="240" w:lineRule="auto"/>
      </w:pPr>
      <w:r>
        <w:separator/>
      </w:r>
    </w:p>
  </w:footnote>
  <w:footnote w:type="continuationSeparator" w:id="0">
    <w:p w:rsidR="002118DB" w:rsidRDefault="0021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1B" w:rsidRPr="00987FFB" w:rsidRDefault="002118DB" w:rsidP="008533A1">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1B" w:rsidRPr="00987FFB" w:rsidRDefault="002118DB" w:rsidP="008533A1">
    <w:pPr>
      <w:pStyle w:val="Header"/>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3D"/>
    <w:rsid w:val="002118DB"/>
    <w:rsid w:val="004139F3"/>
    <w:rsid w:val="00951630"/>
    <w:rsid w:val="00963515"/>
    <w:rsid w:val="00A6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83D"/>
  </w:style>
  <w:style w:type="paragraph" w:styleId="Footer">
    <w:name w:val="footer"/>
    <w:basedOn w:val="Normal"/>
    <w:link w:val="FooterChar"/>
    <w:uiPriority w:val="99"/>
    <w:unhideWhenUsed/>
    <w:rsid w:val="00A6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83D"/>
  </w:style>
  <w:style w:type="paragraph" w:styleId="Footer">
    <w:name w:val="footer"/>
    <w:basedOn w:val="Normal"/>
    <w:link w:val="FooterChar"/>
    <w:uiPriority w:val="99"/>
    <w:unhideWhenUsed/>
    <w:rsid w:val="00A6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Z. Markovic</dc:creator>
  <cp:lastModifiedBy>Marija Z. Markovic</cp:lastModifiedBy>
  <cp:revision>4</cp:revision>
  <cp:lastPrinted>2019-04-12T11:37:00Z</cp:lastPrinted>
  <dcterms:created xsi:type="dcterms:W3CDTF">2019-04-12T11:33:00Z</dcterms:created>
  <dcterms:modified xsi:type="dcterms:W3CDTF">2019-04-12T11:45:00Z</dcterms:modified>
</cp:coreProperties>
</file>