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B963E9" w:rsidRPr="00B963E9">
        <w:rPr>
          <w:rFonts w:ascii="Arial" w:hAnsi="Arial" w:cs="Arial"/>
          <w:lang w:val="sr-Cyrl-RS"/>
        </w:rPr>
        <w:t>плана генералне регулације подручја</w:t>
      </w:r>
      <w:r w:rsidR="00B963E9" w:rsidRPr="00B963E9">
        <w:rPr>
          <w:rFonts w:ascii="Arial" w:hAnsi="Arial" w:cs="Arial"/>
          <w:lang w:val="sr-Latn-RS"/>
        </w:rPr>
        <w:t xml:space="preserve"> </w:t>
      </w:r>
      <w:r w:rsidR="00B963E9" w:rsidRPr="00B963E9">
        <w:rPr>
          <w:rFonts w:ascii="Arial" w:hAnsi="Arial" w:cs="Arial"/>
          <w:lang w:val="sr-Cyrl-RS"/>
        </w:rPr>
        <w:t>у обухвату заштитног појаса инфраструктурног коридора магистралног гасовода Ниш – Димитровград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B963E9" w:rsidRPr="00B963E9">
        <w:rPr>
          <w:rFonts w:ascii="Arial" w:hAnsi="Arial" w:cs="Arial"/>
          <w:lang w:val="sr-Cyrl-RS"/>
        </w:rPr>
        <w:t>плана генералне регулације подручја</w:t>
      </w:r>
      <w:r w:rsidR="00B963E9" w:rsidRPr="00B963E9">
        <w:rPr>
          <w:rFonts w:ascii="Arial" w:hAnsi="Arial" w:cs="Arial"/>
          <w:lang w:val="sr-Latn-RS"/>
        </w:rPr>
        <w:t xml:space="preserve"> </w:t>
      </w:r>
      <w:r w:rsidR="00B963E9" w:rsidRPr="00B963E9">
        <w:rPr>
          <w:rFonts w:ascii="Arial" w:hAnsi="Arial" w:cs="Arial"/>
          <w:lang w:val="sr-Cyrl-RS"/>
        </w:rPr>
        <w:t>у обухвату заштитног појаса инфраструктурног коридора магистралног гасовода Ниш – Димитровград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876ABA" w:rsidRPr="00444C2B" w:rsidRDefault="00876ABA" w:rsidP="00876ABA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B963E9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CD7C02" w:rsidRPr="00B963E9">
        <w:rPr>
          <w:rFonts w:ascii="Arial" w:hAnsi="Arial" w:cs="Arial"/>
          <w:lang w:val="sr-Latn-RS" w:eastAsia="sr-Cyrl-CS"/>
        </w:rPr>
        <w:t xml:space="preserve"> </w:t>
      </w:r>
      <w:r w:rsidR="007B66A2">
        <w:rPr>
          <w:rFonts w:ascii="Arial" w:hAnsi="Arial" w:cs="Arial"/>
          <w:lang w:val="sr-Cyrl-RS" w:eastAsia="sr-Cyrl-CS"/>
        </w:rPr>
        <w:t>1587-</w:t>
      </w:r>
      <w:r w:rsidR="007B66A2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 w:rsidR="00BF5E49" w:rsidRPr="00B963E9">
        <w:rPr>
          <w:rFonts w:ascii="Arial" w:hAnsi="Arial" w:cs="Arial"/>
          <w:lang w:val="sr-Latn-RS" w:eastAsia="sr-Cyrl-CS"/>
        </w:rPr>
        <w:t xml:space="preserve"> </w:t>
      </w:r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793059"/>
    <w:rsid w:val="007B66A2"/>
    <w:rsid w:val="00876ABA"/>
    <w:rsid w:val="00A30189"/>
    <w:rsid w:val="00A70755"/>
    <w:rsid w:val="00B66316"/>
    <w:rsid w:val="00B723CB"/>
    <w:rsid w:val="00B963E9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24</cp:revision>
  <dcterms:created xsi:type="dcterms:W3CDTF">2018-01-11T07:42:00Z</dcterms:created>
  <dcterms:modified xsi:type="dcterms:W3CDTF">2018-12-20T13:29:00Z</dcterms:modified>
</cp:coreProperties>
</file>