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4D5" w:rsidRDefault="00E654D5" w:rsidP="00E654D5">
      <w:pPr>
        <w:widowControl/>
        <w:shd w:val="clear" w:color="auto" w:fill="FFFFFF"/>
        <w:jc w:val="center"/>
        <w:rPr>
          <w:rFonts w:ascii="Arial" w:eastAsia="Times New Roman" w:hAnsi="Arial" w:cs="Arial"/>
          <w:color w:val="000000"/>
          <w:kern w:val="0"/>
          <w:sz w:val="22"/>
          <w:szCs w:val="22"/>
          <w:lang w:val="sr-Cyrl-BA" w:eastAsia="sr-Latn-RS" w:bidi="ar-SA"/>
        </w:rPr>
      </w:pPr>
    </w:p>
    <w:p w:rsidR="00E654D5" w:rsidRDefault="00E654D5" w:rsidP="00E654D5">
      <w:pPr>
        <w:widowControl/>
        <w:shd w:val="clear" w:color="auto" w:fill="FFFFFF"/>
        <w:jc w:val="center"/>
        <w:rPr>
          <w:rFonts w:ascii="Arial" w:eastAsia="Times New Roman" w:hAnsi="Arial" w:cs="Arial"/>
          <w:color w:val="000000"/>
          <w:kern w:val="0"/>
          <w:sz w:val="22"/>
          <w:szCs w:val="22"/>
          <w:lang w:val="sr-Cyrl-BA" w:eastAsia="sr-Latn-RS" w:bidi="ar-SA"/>
        </w:rPr>
      </w:pPr>
    </w:p>
    <w:p w:rsidR="00E654D5" w:rsidRPr="00F52FB1" w:rsidRDefault="00E654D5" w:rsidP="00E654D5">
      <w:pPr>
        <w:widowControl/>
        <w:shd w:val="clear" w:color="auto" w:fill="FFFFFF"/>
        <w:jc w:val="center"/>
        <w:rPr>
          <w:rFonts w:ascii="Arial" w:eastAsia="Times New Roman" w:hAnsi="Arial" w:cs="Arial"/>
          <w:color w:val="000000"/>
          <w:kern w:val="0"/>
          <w:sz w:val="22"/>
          <w:szCs w:val="22"/>
          <w:lang w:val="sr-Cyrl-BA" w:eastAsia="sr-Latn-RS" w:bidi="ar-SA"/>
        </w:rPr>
      </w:pPr>
      <w:r w:rsidRPr="00F52FB1">
        <w:rPr>
          <w:rFonts w:ascii="Arial" w:eastAsia="Times New Roman" w:hAnsi="Arial" w:cs="Arial"/>
          <w:color w:val="000000"/>
          <w:kern w:val="0"/>
          <w:sz w:val="22"/>
          <w:szCs w:val="22"/>
          <w:lang w:val="sr-Cyrl-BA" w:eastAsia="sr-Latn-RS" w:bidi="ar-SA"/>
        </w:rPr>
        <w:t>О б р а з л о ж е њ е</w:t>
      </w:r>
    </w:p>
    <w:p w:rsidR="00E654D5" w:rsidRPr="00F52FB1" w:rsidRDefault="00E654D5" w:rsidP="00E654D5">
      <w:pPr>
        <w:widowControl/>
        <w:shd w:val="clear" w:color="auto" w:fill="FFFFFF"/>
        <w:jc w:val="center"/>
        <w:rPr>
          <w:rFonts w:ascii="Arial" w:eastAsia="Times New Roman" w:hAnsi="Arial" w:cs="Arial"/>
          <w:color w:val="000000"/>
          <w:kern w:val="0"/>
          <w:sz w:val="22"/>
          <w:szCs w:val="22"/>
          <w:lang w:val="sr-Cyrl-BA" w:eastAsia="sr-Latn-RS" w:bidi="ar-SA"/>
        </w:rPr>
      </w:pPr>
    </w:p>
    <w:p w:rsidR="00E654D5" w:rsidRPr="00F52FB1" w:rsidRDefault="00E654D5" w:rsidP="00E654D5">
      <w:pPr>
        <w:widowControl/>
        <w:ind w:firstLine="708"/>
        <w:jc w:val="both"/>
        <w:rPr>
          <w:rFonts w:ascii="Arial" w:hAnsi="Arial" w:cs="Arial"/>
          <w:kern w:val="0"/>
          <w:sz w:val="22"/>
          <w:szCs w:val="22"/>
          <w:lang w:val="sr-Cyrl-BA" w:eastAsia="en-US" w:bidi="ar-SA"/>
        </w:rPr>
      </w:pPr>
      <w:r w:rsidRPr="00F52FB1">
        <w:rPr>
          <w:rFonts w:ascii="Arial" w:hAnsi="Arial" w:cs="Arial"/>
          <w:color w:val="000000"/>
          <w:kern w:val="0"/>
          <w:sz w:val="22"/>
          <w:szCs w:val="22"/>
          <w:lang w:val="sr-Cyrl-BA" w:eastAsia="en-US" w:bidi="ar-SA"/>
        </w:rPr>
        <w:t xml:space="preserve">Правни основ за доношење ове Одлуке постоји у члану </w:t>
      </w:r>
      <w:r w:rsidRPr="00F52FB1">
        <w:rPr>
          <w:rFonts w:ascii="Arial" w:hAnsi="Arial" w:cs="Calibri"/>
          <w:kern w:val="0"/>
          <w:sz w:val="22"/>
          <w:szCs w:val="22"/>
          <w:lang w:val="sr-Cyrl-CS" w:eastAsia="en-US" w:bidi="ar-SA"/>
        </w:rPr>
        <w:t xml:space="preserve">32. став 1. тачка </w:t>
      </w:r>
      <w:r>
        <w:rPr>
          <w:rFonts w:ascii="Arial" w:hAnsi="Arial" w:cs="Calibri"/>
          <w:kern w:val="0"/>
          <w:sz w:val="22"/>
          <w:szCs w:val="22"/>
          <w:lang w:val="sr-Cyrl-CS" w:eastAsia="en-US" w:bidi="ar-SA"/>
        </w:rPr>
        <w:t>20</w:t>
      </w:r>
      <w:r w:rsidRPr="00F52FB1">
        <w:rPr>
          <w:rFonts w:ascii="Arial" w:hAnsi="Arial" w:cs="Calibri"/>
          <w:kern w:val="0"/>
          <w:sz w:val="22"/>
          <w:szCs w:val="22"/>
          <w:lang w:val="sr-Cyrl-CS" w:eastAsia="en-US" w:bidi="ar-SA"/>
        </w:rPr>
        <w:t xml:space="preserve">. Закона о локалној самоуправи („Сл. гласник РС“ </w:t>
      </w:r>
      <w:r w:rsidRPr="00F52FB1">
        <w:rPr>
          <w:rFonts w:ascii="Arial" w:hAnsi="Arial" w:cs="Arial"/>
          <w:kern w:val="0"/>
          <w:sz w:val="22"/>
          <w:szCs w:val="22"/>
          <w:lang w:val="sr-Latn-RS" w:eastAsia="en-US" w:bidi="ar-SA"/>
        </w:rPr>
        <w:t xml:space="preserve">бр. </w:t>
      </w:r>
      <w:r w:rsidRPr="00F52FB1">
        <w:rPr>
          <w:rFonts w:ascii="Arial" w:hAnsi="Arial" w:cs="Arial"/>
          <w:kern w:val="0"/>
          <w:sz w:val="22"/>
          <w:szCs w:val="22"/>
          <w:lang w:val="sr-Cyrl-CS" w:eastAsia="en-US" w:bidi="ar-SA"/>
        </w:rPr>
        <w:t>129</w:t>
      </w:r>
      <w:r w:rsidRPr="00F52FB1">
        <w:rPr>
          <w:rFonts w:ascii="Arial" w:hAnsi="Arial" w:cs="Arial"/>
          <w:kern w:val="0"/>
          <w:sz w:val="22"/>
          <w:szCs w:val="22"/>
          <w:lang w:val="sr-Latn-RS" w:eastAsia="en-US" w:bidi="ar-SA"/>
        </w:rPr>
        <w:t>/07</w:t>
      </w:r>
      <w:r w:rsidRPr="00F52FB1">
        <w:rPr>
          <w:rFonts w:ascii="Arial" w:hAnsi="Arial" w:cs="Arial"/>
          <w:kern w:val="0"/>
          <w:sz w:val="22"/>
          <w:szCs w:val="22"/>
          <w:lang w:val="sr-Cyrl-BA" w:eastAsia="en-US" w:bidi="ar-SA"/>
        </w:rPr>
        <w:t>, 83/2014</w:t>
      </w:r>
      <w:r w:rsidRPr="00F52FB1">
        <w:rPr>
          <w:rFonts w:ascii="Arial" w:hAnsi="Arial" w:cs="Arial"/>
          <w:kern w:val="0"/>
          <w:sz w:val="22"/>
          <w:szCs w:val="22"/>
          <w:lang w:val="sr-Latn-RS" w:eastAsia="en-US" w:bidi="ar-SA"/>
        </w:rPr>
        <w:t xml:space="preserve"> – </w:t>
      </w:r>
      <w:r>
        <w:rPr>
          <w:rFonts w:ascii="Arial" w:hAnsi="Arial" w:cs="Arial"/>
          <w:kern w:val="0"/>
          <w:sz w:val="22"/>
          <w:szCs w:val="22"/>
          <w:lang w:val="sr-Cyrl-BA" w:eastAsia="en-US" w:bidi="ar-SA"/>
        </w:rPr>
        <w:t>др. Закон и 101/2016- др. з</w:t>
      </w:r>
      <w:r w:rsidRPr="00F52FB1">
        <w:rPr>
          <w:rFonts w:ascii="Arial" w:hAnsi="Arial" w:cs="Arial"/>
          <w:kern w:val="0"/>
          <w:sz w:val="22"/>
          <w:szCs w:val="22"/>
          <w:lang w:val="sr-Cyrl-BA" w:eastAsia="en-US" w:bidi="ar-SA"/>
        </w:rPr>
        <w:t>акон</w:t>
      </w:r>
      <w:r>
        <w:rPr>
          <w:rFonts w:ascii="Arial" w:hAnsi="Arial" w:cs="Arial"/>
          <w:kern w:val="0"/>
          <w:sz w:val="22"/>
          <w:szCs w:val="22"/>
          <w:lang w:val="sr-Cyrl-BA" w:eastAsia="en-US" w:bidi="ar-SA"/>
        </w:rPr>
        <w:t xml:space="preserve"> и 47/2018 </w:t>
      </w:r>
      <w:r w:rsidRPr="00F52FB1">
        <w:rPr>
          <w:rFonts w:ascii="Arial" w:hAnsi="Arial" w:cs="Arial"/>
          <w:kern w:val="0"/>
          <w:sz w:val="22"/>
          <w:szCs w:val="22"/>
          <w:lang w:val="sr-Latn-RS" w:eastAsia="en-US" w:bidi="ar-SA"/>
        </w:rPr>
        <w:t xml:space="preserve">) </w:t>
      </w:r>
      <w:r>
        <w:rPr>
          <w:rFonts w:ascii="Arial" w:hAnsi="Arial" w:cs="Arial"/>
          <w:kern w:val="0"/>
          <w:sz w:val="22"/>
          <w:szCs w:val="22"/>
          <w:lang w:val="sr-Cyrl-BA" w:eastAsia="en-US" w:bidi="ar-SA"/>
        </w:rPr>
        <w:t xml:space="preserve">којим је </w:t>
      </w:r>
      <w:r w:rsidRPr="00F52FB1">
        <w:rPr>
          <w:rFonts w:ascii="Arial" w:hAnsi="Arial" w:cs="Arial"/>
          <w:kern w:val="0"/>
          <w:sz w:val="22"/>
          <w:szCs w:val="22"/>
          <w:lang w:val="sr-Cyrl-BA" w:eastAsia="en-US" w:bidi="ar-SA"/>
        </w:rPr>
        <w:t>пропи</w:t>
      </w:r>
      <w:r>
        <w:rPr>
          <w:rFonts w:ascii="Arial" w:hAnsi="Arial" w:cs="Arial"/>
          <w:kern w:val="0"/>
          <w:sz w:val="22"/>
          <w:szCs w:val="22"/>
          <w:lang w:val="sr-Cyrl-BA" w:eastAsia="en-US" w:bidi="ar-SA"/>
        </w:rPr>
        <w:t xml:space="preserve">сано </w:t>
      </w:r>
      <w:r w:rsidRPr="00F52FB1">
        <w:rPr>
          <w:rFonts w:ascii="Arial" w:hAnsi="Arial" w:cs="Arial"/>
          <w:kern w:val="0"/>
          <w:sz w:val="22"/>
          <w:szCs w:val="22"/>
          <w:lang w:val="sr-Cyrl-BA" w:eastAsia="en-US" w:bidi="ar-SA"/>
        </w:rPr>
        <w:t xml:space="preserve"> да Скупштина „</w:t>
      </w:r>
      <w:r>
        <w:rPr>
          <w:rFonts w:ascii="Arial" w:hAnsi="Arial" w:cs="Arial"/>
          <w:kern w:val="0"/>
          <w:sz w:val="22"/>
          <w:szCs w:val="22"/>
          <w:lang w:val="sr-Cyrl-BA" w:eastAsia="en-US" w:bidi="ar-SA"/>
        </w:rPr>
        <w:t xml:space="preserve"> </w:t>
      </w:r>
      <w:r w:rsidRPr="00F52FB1">
        <w:rPr>
          <w:rFonts w:ascii="Arial" w:hAnsi="Arial" w:cs="Arial"/>
          <w:kern w:val="0"/>
          <w:sz w:val="22"/>
          <w:szCs w:val="22"/>
          <w:lang w:val="sr-Cyrl-BA" w:eastAsia="en-US" w:bidi="ar-SA"/>
        </w:rPr>
        <w:t>доноси прописе и друге опште акте“.</w:t>
      </w:r>
    </w:p>
    <w:p w:rsidR="00E654D5" w:rsidRPr="00F52FB1" w:rsidRDefault="00E654D5" w:rsidP="00E654D5">
      <w:pPr>
        <w:widowControl/>
        <w:ind w:firstLine="708"/>
        <w:jc w:val="both"/>
        <w:rPr>
          <w:rFonts w:ascii="Arial" w:hAnsi="Arial" w:cs="Arial"/>
          <w:kern w:val="0"/>
          <w:sz w:val="22"/>
          <w:szCs w:val="22"/>
          <w:lang w:val="sr-Cyrl-BA" w:eastAsia="en-US" w:bidi="ar-SA"/>
        </w:rPr>
      </w:pPr>
      <w:r w:rsidRPr="00F52FB1">
        <w:rPr>
          <w:rFonts w:ascii="Arial" w:hAnsi="Arial" w:cs="Arial"/>
          <w:kern w:val="0"/>
          <w:sz w:val="22"/>
          <w:szCs w:val="22"/>
          <w:lang w:val="sr-Latn-RS" w:eastAsia="en-US" w:bidi="ar-SA"/>
        </w:rPr>
        <w:t>Закон о јавно</w:t>
      </w:r>
      <w:r w:rsidRPr="00F52FB1">
        <w:rPr>
          <w:rFonts w:ascii="Arial" w:hAnsi="Arial" w:cs="Arial"/>
          <w:kern w:val="0"/>
          <w:sz w:val="22"/>
          <w:szCs w:val="22"/>
          <w:lang w:val="sr-Cyrl-BA" w:eastAsia="en-US" w:bidi="ar-SA"/>
        </w:rPr>
        <w:t>-</w:t>
      </w:r>
      <w:r w:rsidRPr="00F52FB1">
        <w:rPr>
          <w:rFonts w:ascii="Arial" w:hAnsi="Arial" w:cs="Arial"/>
          <w:kern w:val="0"/>
          <w:sz w:val="22"/>
          <w:szCs w:val="22"/>
          <w:lang w:val="sr-Latn-RS" w:eastAsia="en-US" w:bidi="ar-SA"/>
        </w:rPr>
        <w:t>приватном партнерству и концесијама ("Службени гласник РС", бр. 88/2011, 15/2016 и 104/2016)</w:t>
      </w:r>
      <w:r w:rsidRPr="00F52FB1">
        <w:rPr>
          <w:rFonts w:ascii="Arial" w:hAnsi="Arial" w:cs="Arial"/>
          <w:kern w:val="0"/>
          <w:sz w:val="22"/>
          <w:szCs w:val="22"/>
          <w:lang w:val="sr-Cyrl-BA" w:eastAsia="en-US" w:bidi="ar-SA"/>
        </w:rPr>
        <w:t xml:space="preserve"> у члану 2.</w:t>
      </w:r>
      <w:r>
        <w:rPr>
          <w:rFonts w:ascii="Arial" w:hAnsi="Arial" w:cs="Arial"/>
          <w:kern w:val="0"/>
          <w:sz w:val="22"/>
          <w:szCs w:val="22"/>
          <w:lang w:val="sr-Cyrl-BA" w:eastAsia="en-US" w:bidi="ar-SA"/>
        </w:rPr>
        <w:t xml:space="preserve"> </w:t>
      </w:r>
      <w:r w:rsidRPr="00F52FB1">
        <w:rPr>
          <w:rFonts w:ascii="Arial" w:hAnsi="Arial" w:cs="Arial"/>
          <w:kern w:val="0"/>
          <w:sz w:val="22"/>
          <w:szCs w:val="22"/>
          <w:lang w:val="sr-Cyrl-BA" w:eastAsia="en-US" w:bidi="ar-SA"/>
        </w:rPr>
        <w:t>става 1. прописује да „на сва улагања средстава у јавној својини у заједничко</w:t>
      </w:r>
      <w:r w:rsidRPr="00F52FB1">
        <w:rPr>
          <w:rFonts w:ascii="Arial" w:hAnsi="Arial" w:cs="Arial"/>
          <w:kern w:val="0"/>
          <w:sz w:val="22"/>
          <w:szCs w:val="22"/>
          <w:lang w:eastAsia="en-US" w:bidi="ar-SA"/>
        </w:rPr>
        <w:t xml:space="preserve"> </w:t>
      </w:r>
      <w:r w:rsidRPr="00F52FB1">
        <w:rPr>
          <w:rFonts w:ascii="Arial" w:hAnsi="Arial" w:cs="Arial"/>
          <w:kern w:val="0"/>
          <w:sz w:val="22"/>
          <w:szCs w:val="22"/>
          <w:lang w:val="sr-Cyrl-BA" w:eastAsia="en-US" w:bidi="ar-SA"/>
        </w:rPr>
        <w:t>привредно друштво са приватним партнером искључиво ради реализације пројеката јавно-приватног партнерства, примењују се одредбе овог Закона, као и одговарајуће одредбе Закона и других прописа којима се уређује јавна својина и буџетски систем“.</w:t>
      </w:r>
    </w:p>
    <w:p w:rsidR="00E654D5" w:rsidRPr="00F52FB1" w:rsidRDefault="00E654D5" w:rsidP="00E654D5">
      <w:pPr>
        <w:widowControl/>
        <w:ind w:firstLine="708"/>
        <w:jc w:val="both"/>
        <w:rPr>
          <w:rFonts w:ascii="Arial" w:hAnsi="Arial" w:cs="Arial"/>
          <w:color w:val="000000"/>
          <w:kern w:val="0"/>
          <w:sz w:val="22"/>
          <w:szCs w:val="22"/>
          <w:lang w:val="sr-Cyrl-BA" w:eastAsia="en-US" w:bidi="ar-SA"/>
        </w:rPr>
      </w:pPr>
      <w:r w:rsidRPr="00F52FB1">
        <w:rPr>
          <w:rFonts w:ascii="Arial" w:hAnsi="Arial" w:cs="Arial"/>
          <w:kern w:val="0"/>
          <w:sz w:val="22"/>
          <w:szCs w:val="22"/>
          <w:lang w:val="sr-Cyrl-BA" w:eastAsia="en-US" w:bidi="ar-SA"/>
        </w:rPr>
        <w:t>У члану 4.</w:t>
      </w:r>
      <w:r>
        <w:rPr>
          <w:rFonts w:ascii="Arial" w:hAnsi="Arial" w:cs="Arial"/>
          <w:kern w:val="0"/>
          <w:sz w:val="22"/>
          <w:szCs w:val="22"/>
          <w:lang w:val="sr-Cyrl-BA" w:eastAsia="en-US" w:bidi="ar-SA"/>
        </w:rPr>
        <w:t xml:space="preserve"> </w:t>
      </w:r>
      <w:r w:rsidRPr="00F52FB1">
        <w:rPr>
          <w:rFonts w:ascii="Arial" w:hAnsi="Arial" w:cs="Arial"/>
          <w:kern w:val="0"/>
          <w:sz w:val="22"/>
          <w:szCs w:val="22"/>
          <w:lang w:val="sr-Cyrl-BA" w:eastAsia="en-US" w:bidi="ar-SA"/>
        </w:rPr>
        <w:t xml:space="preserve">става 1. тачке 7., </w:t>
      </w:r>
      <w:proofErr w:type="spellStart"/>
      <w:r w:rsidRPr="00F52FB1">
        <w:rPr>
          <w:rFonts w:ascii="Arial" w:hAnsi="Arial" w:cs="Arial"/>
          <w:kern w:val="0"/>
          <w:sz w:val="22"/>
          <w:szCs w:val="22"/>
          <w:lang w:val="sr-Cyrl-BA" w:eastAsia="en-US" w:bidi="ar-SA"/>
        </w:rPr>
        <w:t>подтачка</w:t>
      </w:r>
      <w:proofErr w:type="spellEnd"/>
      <w:r w:rsidRPr="00F52FB1">
        <w:rPr>
          <w:rFonts w:ascii="Arial" w:hAnsi="Arial" w:cs="Arial"/>
          <w:kern w:val="0"/>
          <w:sz w:val="22"/>
          <w:szCs w:val="22"/>
          <w:lang w:val="sr-Cyrl-BA" w:eastAsia="en-US" w:bidi="ar-SA"/>
        </w:rPr>
        <w:t xml:space="preserve"> 1. истог Закона законодавац одређује значење јавног тела,</w:t>
      </w:r>
      <w:r>
        <w:rPr>
          <w:rFonts w:ascii="Arial" w:hAnsi="Arial" w:cs="Arial"/>
          <w:kern w:val="0"/>
          <w:sz w:val="22"/>
          <w:szCs w:val="22"/>
          <w:lang w:val="sr-Cyrl-BA" w:eastAsia="en-US" w:bidi="ar-SA"/>
        </w:rPr>
        <w:t xml:space="preserve"> </w:t>
      </w:r>
      <w:r w:rsidRPr="00F52FB1">
        <w:rPr>
          <w:rFonts w:ascii="Arial" w:hAnsi="Arial" w:cs="Arial"/>
          <w:kern w:val="0"/>
          <w:sz w:val="22"/>
          <w:szCs w:val="22"/>
          <w:lang w:val="sr-Cyrl-BA" w:eastAsia="en-US" w:bidi="ar-SA"/>
        </w:rPr>
        <w:t>тј.</w:t>
      </w:r>
      <w:r>
        <w:rPr>
          <w:rFonts w:ascii="Arial" w:hAnsi="Arial" w:cs="Arial"/>
          <w:kern w:val="0"/>
          <w:sz w:val="22"/>
          <w:szCs w:val="22"/>
          <w:lang w:val="sr-Cyrl-BA" w:eastAsia="en-US" w:bidi="ar-SA"/>
        </w:rPr>
        <w:t xml:space="preserve"> </w:t>
      </w:r>
      <w:r w:rsidRPr="00F52FB1">
        <w:rPr>
          <w:rFonts w:ascii="Arial" w:hAnsi="Arial" w:cs="Arial"/>
          <w:kern w:val="0"/>
          <w:sz w:val="22"/>
          <w:szCs w:val="22"/>
          <w:lang w:val="sr-Cyrl-BA" w:eastAsia="en-US" w:bidi="ar-SA"/>
        </w:rPr>
        <w:t>прописује поред осталог да је јавно тело „државни орган, организација, установа и други директни или инд</w:t>
      </w:r>
      <w:r>
        <w:rPr>
          <w:rFonts w:ascii="Arial" w:hAnsi="Arial" w:cs="Arial"/>
          <w:kern w:val="0"/>
          <w:sz w:val="22"/>
          <w:szCs w:val="22"/>
          <w:lang w:val="sr-Cyrl-BA" w:eastAsia="en-US" w:bidi="ar-SA"/>
        </w:rPr>
        <w:t>иректни корисник буџетских сред</w:t>
      </w:r>
      <w:r w:rsidRPr="00F52FB1">
        <w:rPr>
          <w:rFonts w:ascii="Arial" w:hAnsi="Arial" w:cs="Arial"/>
          <w:kern w:val="0"/>
          <w:sz w:val="22"/>
          <w:szCs w:val="22"/>
          <w:lang w:val="sr-Cyrl-BA" w:eastAsia="en-US" w:bidi="ar-SA"/>
        </w:rPr>
        <w:t>става у смислу Закона којим</w:t>
      </w:r>
      <w:r w:rsidRPr="00F52FB1">
        <w:rPr>
          <w:rFonts w:ascii="Arial" w:hAnsi="Arial" w:cs="Arial"/>
          <w:kern w:val="0"/>
          <w:sz w:val="22"/>
          <w:szCs w:val="22"/>
          <w:lang w:eastAsia="en-US" w:bidi="ar-SA"/>
        </w:rPr>
        <w:t xml:space="preserve"> </w:t>
      </w:r>
      <w:r w:rsidRPr="00F52FB1">
        <w:rPr>
          <w:rFonts w:ascii="Arial" w:hAnsi="Arial" w:cs="Arial"/>
          <w:kern w:val="0"/>
          <w:sz w:val="22"/>
          <w:szCs w:val="22"/>
          <w:lang w:val="sr-Cyrl-BA" w:eastAsia="en-US" w:bidi="ar-SA"/>
        </w:rPr>
        <w:t xml:space="preserve">се уређује буџетски систем и буџет, као и организација за обавезно социјално осигурање;“, </w:t>
      </w:r>
      <w:proofErr w:type="spellStart"/>
      <w:r w:rsidRPr="00F52FB1">
        <w:rPr>
          <w:rFonts w:ascii="Arial" w:hAnsi="Arial" w:cs="Arial"/>
          <w:kern w:val="0"/>
          <w:sz w:val="22"/>
          <w:szCs w:val="22"/>
          <w:lang w:val="sr-Cyrl-BA" w:eastAsia="en-US" w:bidi="ar-SA"/>
        </w:rPr>
        <w:t>доку</w:t>
      </w:r>
      <w:proofErr w:type="spellEnd"/>
      <w:r w:rsidRPr="00F52FB1">
        <w:rPr>
          <w:rFonts w:ascii="Arial" w:hAnsi="Arial" w:cs="Arial"/>
          <w:kern w:val="0"/>
          <w:sz w:val="22"/>
          <w:szCs w:val="22"/>
          <w:lang w:val="sr-Cyrl-BA" w:eastAsia="en-US" w:bidi="ar-SA"/>
        </w:rPr>
        <w:t xml:space="preserve"> члану 12.</w:t>
      </w:r>
      <w:r>
        <w:rPr>
          <w:rFonts w:ascii="Arial" w:hAnsi="Arial" w:cs="Arial"/>
          <w:kern w:val="0"/>
          <w:sz w:val="22"/>
          <w:szCs w:val="22"/>
          <w:lang w:val="sr-Cyrl-BA" w:eastAsia="en-US" w:bidi="ar-SA"/>
        </w:rPr>
        <w:t xml:space="preserve"> </w:t>
      </w:r>
      <w:r w:rsidRPr="00F52FB1">
        <w:rPr>
          <w:rFonts w:ascii="Arial" w:hAnsi="Arial" w:cs="Arial"/>
          <w:kern w:val="0"/>
          <w:sz w:val="22"/>
          <w:szCs w:val="22"/>
          <w:lang w:val="sr-Cyrl-BA" w:eastAsia="en-US" w:bidi="ar-SA"/>
        </w:rPr>
        <w:t>става 1. стоји да „</w:t>
      </w:r>
      <w:r>
        <w:rPr>
          <w:rFonts w:ascii="Arial" w:hAnsi="Arial" w:cs="Arial"/>
          <w:kern w:val="0"/>
          <w:sz w:val="22"/>
          <w:szCs w:val="22"/>
          <w:lang w:val="sr-Cyrl-BA" w:eastAsia="en-US" w:bidi="ar-SA"/>
        </w:rPr>
        <w:t xml:space="preserve"> </w:t>
      </w:r>
      <w:r w:rsidRPr="00F52FB1">
        <w:rPr>
          <w:rFonts w:ascii="Arial" w:hAnsi="Arial" w:cs="Arial"/>
          <w:kern w:val="0"/>
          <w:sz w:val="22"/>
          <w:szCs w:val="22"/>
          <w:lang w:val="sr-Cyrl-BA" w:eastAsia="en-US" w:bidi="ar-SA"/>
        </w:rPr>
        <w:t>јавна тела имају право да самостално покрену поступак реализације пројекта ЈПП из своје надлежности.“</w:t>
      </w:r>
    </w:p>
    <w:p w:rsidR="00E654D5" w:rsidRPr="00F52FB1" w:rsidRDefault="00E654D5" w:rsidP="00E654D5">
      <w:pPr>
        <w:widowControl/>
        <w:jc w:val="both"/>
        <w:rPr>
          <w:rFonts w:ascii="Arial" w:hAnsi="Arial" w:cs="Arial"/>
          <w:color w:val="000000"/>
          <w:kern w:val="0"/>
          <w:sz w:val="22"/>
          <w:szCs w:val="22"/>
          <w:lang w:val="sr-Cyrl-BA" w:eastAsia="en-US" w:bidi="ar-SA"/>
        </w:rPr>
      </w:pPr>
      <w:r w:rsidRPr="00F52FB1">
        <w:rPr>
          <w:rFonts w:ascii="Arial" w:hAnsi="Arial" w:cs="Arial"/>
          <w:color w:val="000000"/>
          <w:kern w:val="0"/>
          <w:sz w:val="22"/>
          <w:szCs w:val="22"/>
          <w:lang w:val="sr-Cyrl-BA" w:eastAsia="en-US" w:bidi="ar-SA"/>
        </w:rPr>
        <w:tab/>
        <w:t>У ставу 2. истог члана даје се јавном телу право да закључује јавне уговоре са свим правним и физичким</w:t>
      </w:r>
      <w:r w:rsidRPr="00F52FB1">
        <w:rPr>
          <w:rFonts w:ascii="Arial" w:hAnsi="Arial" w:cs="Arial"/>
          <w:color w:val="000000"/>
          <w:kern w:val="0"/>
          <w:sz w:val="22"/>
          <w:szCs w:val="22"/>
          <w:lang w:eastAsia="en-US" w:bidi="ar-SA"/>
        </w:rPr>
        <w:t xml:space="preserve"> </w:t>
      </w:r>
      <w:r w:rsidRPr="00F52FB1">
        <w:rPr>
          <w:rFonts w:ascii="Arial" w:hAnsi="Arial" w:cs="Arial"/>
          <w:color w:val="000000"/>
          <w:kern w:val="0"/>
          <w:sz w:val="22"/>
          <w:szCs w:val="22"/>
          <w:lang w:val="sr-Cyrl-BA" w:eastAsia="en-US" w:bidi="ar-SA"/>
        </w:rPr>
        <w:t>лицима, као и да закључује споредне или повезане споразуме.</w:t>
      </w:r>
    </w:p>
    <w:p w:rsidR="00E654D5" w:rsidRDefault="00E654D5" w:rsidP="00E654D5">
      <w:pPr>
        <w:widowControl/>
        <w:ind w:firstLine="708"/>
        <w:jc w:val="both"/>
        <w:rPr>
          <w:rFonts w:ascii="Arial" w:hAnsi="Arial" w:cs="Arial"/>
          <w:color w:val="000000"/>
          <w:kern w:val="0"/>
          <w:sz w:val="22"/>
          <w:szCs w:val="22"/>
          <w:lang w:val="sr-Cyrl-BA" w:eastAsia="en-US" w:bidi="ar-SA"/>
        </w:rPr>
      </w:pPr>
      <w:r w:rsidRPr="00F52FB1">
        <w:rPr>
          <w:rFonts w:ascii="Arial" w:hAnsi="Arial" w:cs="Arial"/>
          <w:color w:val="000000"/>
          <w:kern w:val="0"/>
          <w:sz w:val="22"/>
          <w:szCs w:val="22"/>
          <w:lang w:val="sr-Cyrl-BA" w:eastAsia="en-US" w:bidi="ar-SA"/>
        </w:rPr>
        <w:t xml:space="preserve">Основни разлог за доношење ове Одлуке јесте стварање правног оквира за замену свих сијалица на територији </w:t>
      </w:r>
      <w:r>
        <w:rPr>
          <w:rFonts w:ascii="Arial" w:hAnsi="Arial" w:cs="Arial"/>
          <w:color w:val="000000"/>
          <w:kern w:val="0"/>
          <w:sz w:val="22"/>
          <w:szCs w:val="22"/>
          <w:lang w:val="sr-Cyrl-BA" w:eastAsia="en-US" w:bidi="ar-SA"/>
        </w:rPr>
        <w:t>Града</w:t>
      </w:r>
      <w:r w:rsidRPr="00F52FB1">
        <w:rPr>
          <w:rFonts w:ascii="Arial" w:hAnsi="Arial" w:cs="Arial"/>
          <w:color w:val="000000"/>
          <w:kern w:val="0"/>
          <w:sz w:val="22"/>
          <w:szCs w:val="22"/>
          <w:lang w:val="sr-Cyrl-BA" w:eastAsia="en-US" w:bidi="ar-SA"/>
        </w:rPr>
        <w:t xml:space="preserve"> </w:t>
      </w:r>
      <w:r>
        <w:rPr>
          <w:rFonts w:ascii="Arial" w:hAnsi="Arial" w:cs="Arial"/>
          <w:color w:val="000000"/>
          <w:kern w:val="0"/>
          <w:sz w:val="22"/>
          <w:szCs w:val="22"/>
          <w:lang w:val="sr-Cyrl-BA" w:eastAsia="en-US" w:bidi="ar-SA"/>
        </w:rPr>
        <w:t>Ниша</w:t>
      </w:r>
      <w:r w:rsidRPr="00F52FB1">
        <w:rPr>
          <w:rFonts w:ascii="Arial" w:hAnsi="Arial" w:cs="Arial"/>
          <w:color w:val="000000"/>
          <w:kern w:val="0"/>
          <w:sz w:val="22"/>
          <w:szCs w:val="22"/>
          <w:lang w:val="sr-Cyrl-BA" w:eastAsia="en-US" w:bidi="ar-SA"/>
        </w:rPr>
        <w:t xml:space="preserve"> са циљем уштеде трошкова за електричну енергију</w:t>
      </w:r>
      <w:r w:rsidRPr="00F52FB1">
        <w:rPr>
          <w:rFonts w:ascii="Arial" w:hAnsi="Arial" w:cs="Arial"/>
          <w:color w:val="000000"/>
          <w:kern w:val="0"/>
          <w:sz w:val="22"/>
          <w:szCs w:val="22"/>
          <w:lang w:eastAsia="en-US" w:bidi="ar-SA"/>
        </w:rPr>
        <w:t xml:space="preserve">, </w:t>
      </w:r>
      <w:r w:rsidRPr="00F52FB1">
        <w:rPr>
          <w:rFonts w:ascii="Arial" w:hAnsi="Arial" w:cs="Arial"/>
          <w:color w:val="000000"/>
          <w:kern w:val="0"/>
          <w:sz w:val="22"/>
          <w:szCs w:val="22"/>
          <w:lang w:val="sr-Cyrl-BA" w:eastAsia="en-US" w:bidi="ar-SA"/>
        </w:rPr>
        <w:t xml:space="preserve">текућег одржавања која се плаћа из буџета </w:t>
      </w:r>
      <w:r>
        <w:rPr>
          <w:rFonts w:ascii="Arial" w:hAnsi="Arial" w:cs="Arial"/>
          <w:color w:val="000000"/>
          <w:kern w:val="0"/>
          <w:sz w:val="22"/>
          <w:szCs w:val="22"/>
          <w:lang w:val="sr-Cyrl-BA" w:eastAsia="en-US" w:bidi="ar-SA"/>
        </w:rPr>
        <w:t>Града Ниша</w:t>
      </w:r>
      <w:r w:rsidRPr="00F52FB1">
        <w:rPr>
          <w:rFonts w:ascii="Arial" w:hAnsi="Arial" w:cs="Arial"/>
          <w:color w:val="000000"/>
          <w:kern w:val="0"/>
          <w:sz w:val="22"/>
          <w:szCs w:val="22"/>
          <w:lang w:val="sr-Cyrl-BA" w:eastAsia="en-US" w:bidi="ar-SA"/>
        </w:rPr>
        <w:t>.</w:t>
      </w:r>
    </w:p>
    <w:p w:rsidR="00E654D5" w:rsidRPr="00974E6A" w:rsidRDefault="00E654D5" w:rsidP="00E654D5">
      <w:pPr>
        <w:ind w:firstLine="720"/>
        <w:jc w:val="both"/>
        <w:rPr>
          <w:rFonts w:ascii="Arial" w:hAnsi="Arial" w:cs="Arial"/>
          <w:sz w:val="22"/>
          <w:szCs w:val="22"/>
        </w:rPr>
      </w:pPr>
      <w:r w:rsidRPr="00974E6A">
        <w:rPr>
          <w:rFonts w:ascii="Arial" w:hAnsi="Arial" w:cs="Arial"/>
          <w:sz w:val="22"/>
          <w:szCs w:val="22"/>
          <w:lang w:val="sr-Cyrl-RS"/>
        </w:rPr>
        <w:t>Општи тренд пораста цене струје, те висина утрошених средства за намене јавног осветљења у граду Ниш, указују на то да је у наредном периоду оправдано размотрити могућност реализације пројекта јавно-приватног партнерства (у даљем тексту: ЈПП) са циљем препуштања услуге реконструкције, управљања и дугогодишњег одржавања система јавног осветљења приватном партнеру. Реализација пројекта кроз ЈПП подразумева финансирање пројекта од стране приватног партнера, чиме се буџет локалне самоуправе кредитно не задужује, већ је њена обавеза да из остварене уштеде у електричној енергији отплаћује приватном партнеру инвестицију и дугогодишње одржавање реконструисаног система осветљења. ЈПП у суштини представља оквир за заједничке акције јавног сектора (у овом случају града Ниш) и капитала приватног партнера, ради обезбеђења ефикаснијег и економичнијег функционисања делатности од општег интереса и ради одрживог развоја инфраструктуре.</w:t>
      </w:r>
    </w:p>
    <w:p w:rsidR="00E654D5" w:rsidRPr="00974E6A" w:rsidRDefault="00E654D5" w:rsidP="00E654D5">
      <w:pPr>
        <w:ind w:firstLine="720"/>
        <w:jc w:val="both"/>
        <w:rPr>
          <w:rFonts w:ascii="Arial" w:hAnsi="Arial" w:cs="Arial"/>
          <w:sz w:val="22"/>
          <w:szCs w:val="22"/>
        </w:rPr>
      </w:pPr>
      <w:r w:rsidRPr="00974E6A">
        <w:rPr>
          <w:rFonts w:ascii="Arial" w:hAnsi="Arial" w:cs="Arial"/>
          <w:sz w:val="22"/>
          <w:szCs w:val="22"/>
          <w:lang w:val="sr-Cyrl-RS"/>
        </w:rPr>
        <w:t xml:space="preserve">Основни увид у постојећи попис система осветљења упућује на то да предмет реконструкције јавног осветљења (у даљем тексту ЈО) у граду Нишу треба обухватити замену и модернизацију </w:t>
      </w:r>
      <w:r w:rsidRPr="00974E6A">
        <w:rPr>
          <w:rFonts w:ascii="Arial" w:hAnsi="Arial" w:cs="Arial"/>
          <w:sz w:val="22"/>
          <w:szCs w:val="22"/>
          <w:lang w:val="en-GB"/>
        </w:rPr>
        <w:t>19.409</w:t>
      </w:r>
      <w:r w:rsidRPr="00974E6A">
        <w:rPr>
          <w:rFonts w:ascii="Arial" w:hAnsi="Arial" w:cs="Arial"/>
          <w:sz w:val="22"/>
          <w:szCs w:val="22"/>
          <w:lang w:val="sr-Cyrl-RS"/>
        </w:rPr>
        <w:t xml:space="preserve"> светиљки од укупно регистрованих 2</w:t>
      </w:r>
      <w:r w:rsidRPr="00974E6A">
        <w:rPr>
          <w:rFonts w:ascii="Arial" w:hAnsi="Arial" w:cs="Arial"/>
          <w:sz w:val="22"/>
          <w:szCs w:val="22"/>
          <w:lang w:val="en-GB"/>
        </w:rPr>
        <w:t>6</w:t>
      </w:r>
      <w:r w:rsidRPr="00974E6A">
        <w:rPr>
          <w:rFonts w:ascii="Arial" w:hAnsi="Arial" w:cs="Arial"/>
          <w:sz w:val="22"/>
          <w:szCs w:val="22"/>
          <w:lang w:val="sr-Cyrl-RS"/>
        </w:rPr>
        <w:t>.428 светиљки. Преосталих 7019 светиљки не треба мењати пошто су већ замењене са штедљивим сијалицама снаге 32</w:t>
      </w:r>
      <w:r w:rsidRPr="00974E6A">
        <w:rPr>
          <w:rFonts w:ascii="Arial" w:hAnsi="Arial" w:cs="Arial"/>
          <w:sz w:val="22"/>
          <w:szCs w:val="22"/>
          <w:lang w:val="en-GB"/>
        </w:rPr>
        <w:t>W</w:t>
      </w:r>
      <w:r w:rsidRPr="00974E6A">
        <w:rPr>
          <w:rFonts w:ascii="Arial" w:hAnsi="Arial" w:cs="Arial"/>
          <w:sz w:val="22"/>
          <w:szCs w:val="22"/>
          <w:lang w:val="sr-Cyrl-RS"/>
        </w:rPr>
        <w:t xml:space="preserve"> јер њихова замена не би била економски оправдана. Структура постојећег система ЈО на територији Ниша упућује на високу неефикасност обзиром да систем чине застареле светиљке чији су извори светлости жива и натријум високог притиска. Поред тога увидом на терену је утврђено да захтеви прописани важећим стандардима у погледу </w:t>
      </w:r>
      <w:proofErr w:type="spellStart"/>
      <w:r w:rsidRPr="00974E6A">
        <w:rPr>
          <w:rFonts w:ascii="Arial" w:hAnsi="Arial" w:cs="Arial"/>
          <w:sz w:val="22"/>
          <w:szCs w:val="22"/>
          <w:lang w:val="sr-Cyrl-RS"/>
        </w:rPr>
        <w:t>осветљености</w:t>
      </w:r>
      <w:proofErr w:type="spellEnd"/>
      <w:r w:rsidRPr="00974E6A">
        <w:rPr>
          <w:rFonts w:ascii="Arial" w:hAnsi="Arial" w:cs="Arial"/>
          <w:sz w:val="22"/>
          <w:szCs w:val="22"/>
          <w:lang w:val="sr-Cyrl-RS"/>
        </w:rPr>
        <w:t xml:space="preserve"> за поједине категорије саобраћајница нису испуњени, што је у случају насељених места на територији града веома битно за безбедност становника и саобраћаја. </w:t>
      </w:r>
    </w:p>
    <w:p w:rsidR="00E654D5" w:rsidRPr="00974E6A" w:rsidRDefault="00E654D5" w:rsidP="00E654D5">
      <w:pPr>
        <w:ind w:firstLine="720"/>
        <w:jc w:val="both"/>
        <w:rPr>
          <w:rFonts w:ascii="Arial" w:hAnsi="Arial" w:cs="Arial"/>
          <w:sz w:val="22"/>
          <w:szCs w:val="22"/>
        </w:rPr>
      </w:pPr>
      <w:r w:rsidRPr="00974E6A">
        <w:rPr>
          <w:rFonts w:ascii="Arial" w:hAnsi="Arial" w:cs="Arial"/>
          <w:sz w:val="22"/>
          <w:szCs w:val="22"/>
          <w:lang w:val="sr-Cyrl-RS"/>
        </w:rPr>
        <w:t xml:space="preserve">Концепт јавно-приватног партнерства на примеру замене постојећих светиљки јавног осветљења штедљивим LED светиљкама, омогућује локалној самоуправи, као јавном партнеру, одређено смањење трошкова, уз истовремено коришћење управљачке, техничке, финансијске и иновативне способности приватног партнера. </w:t>
      </w:r>
    </w:p>
    <w:p w:rsidR="00E654D5" w:rsidRPr="00974E6A" w:rsidRDefault="00E654D5" w:rsidP="00E654D5">
      <w:pPr>
        <w:ind w:firstLine="720"/>
        <w:jc w:val="both"/>
        <w:rPr>
          <w:rFonts w:ascii="Arial" w:hAnsi="Arial" w:cs="Arial"/>
          <w:sz w:val="22"/>
          <w:szCs w:val="22"/>
        </w:rPr>
      </w:pPr>
      <w:r w:rsidRPr="00974E6A">
        <w:rPr>
          <w:rFonts w:ascii="Arial" w:hAnsi="Arial" w:cs="Arial"/>
          <w:sz w:val="22"/>
          <w:szCs w:val="22"/>
          <w:lang w:val="sr-Cyrl-RS"/>
        </w:rPr>
        <w:t xml:space="preserve">Уградњом система за управљање могуће је обезбедити ноћну регулацију осветљења и смањивање интензитета светлости коју емитује свака светиљка, при чему се задржава равномерност </w:t>
      </w:r>
      <w:proofErr w:type="spellStart"/>
      <w:r w:rsidRPr="00974E6A">
        <w:rPr>
          <w:rFonts w:ascii="Arial" w:hAnsi="Arial" w:cs="Arial"/>
          <w:sz w:val="22"/>
          <w:szCs w:val="22"/>
          <w:lang w:val="sr-Cyrl-RS"/>
        </w:rPr>
        <w:t>осветљености</w:t>
      </w:r>
      <w:proofErr w:type="spellEnd"/>
      <w:r w:rsidRPr="00974E6A">
        <w:rPr>
          <w:rFonts w:ascii="Arial" w:hAnsi="Arial" w:cs="Arial"/>
          <w:sz w:val="22"/>
          <w:szCs w:val="22"/>
          <w:lang w:val="sr-Cyrl-RS"/>
        </w:rPr>
        <w:t xml:space="preserve">, а постижу додатне уштеде у енергији. Постоје различити системи за управљање јавним осветљењем. Најекономичнији начин регулације ноћног осветљења је </w:t>
      </w:r>
      <w:r w:rsidRPr="00974E6A">
        <w:rPr>
          <w:rFonts w:ascii="Arial" w:hAnsi="Arial" w:cs="Arial"/>
          <w:sz w:val="22"/>
          <w:szCs w:val="22"/>
          <w:lang w:val="sr-Cyrl-RS"/>
        </w:rPr>
        <w:lastRenderedPageBreak/>
        <w:t xml:space="preserve">путем уграђених аутоматских регулатора у светиљке. У питању је испитана технологија која дужи низ година поуздано функционише. Стопа кварова у </w:t>
      </w:r>
      <w:proofErr w:type="spellStart"/>
      <w:r w:rsidRPr="00974E6A">
        <w:rPr>
          <w:rFonts w:ascii="Arial" w:hAnsi="Arial" w:cs="Arial"/>
          <w:sz w:val="22"/>
          <w:szCs w:val="22"/>
          <w:lang w:val="sr-Cyrl-RS"/>
        </w:rPr>
        <w:t>новоуграђеним</w:t>
      </w:r>
      <w:proofErr w:type="spellEnd"/>
      <w:r w:rsidRPr="00974E6A">
        <w:rPr>
          <w:rFonts w:ascii="Arial" w:hAnsi="Arial" w:cs="Arial"/>
          <w:sz w:val="22"/>
          <w:szCs w:val="22"/>
          <w:lang w:val="sr-Cyrl-RS"/>
        </w:rPr>
        <w:t xml:space="preserve"> светиљкама је минимална и исте отклања инвеститор током гарантног </w:t>
      </w:r>
      <w:proofErr w:type="spellStart"/>
      <w:r w:rsidRPr="00974E6A">
        <w:rPr>
          <w:rFonts w:ascii="Arial" w:hAnsi="Arial" w:cs="Arial"/>
          <w:sz w:val="22"/>
          <w:szCs w:val="22"/>
          <w:lang w:val="sr-Cyrl-RS"/>
        </w:rPr>
        <w:t>рока</w:t>
      </w:r>
      <w:proofErr w:type="spellEnd"/>
      <w:r w:rsidRPr="00974E6A">
        <w:rPr>
          <w:rFonts w:ascii="Arial" w:hAnsi="Arial" w:cs="Arial"/>
          <w:sz w:val="22"/>
          <w:szCs w:val="22"/>
          <w:lang w:val="sr-Cyrl-RS"/>
        </w:rPr>
        <w:t>.</w:t>
      </w:r>
    </w:p>
    <w:p w:rsidR="00E654D5" w:rsidRPr="00974E6A" w:rsidRDefault="00E654D5" w:rsidP="00E654D5">
      <w:pPr>
        <w:ind w:firstLine="720"/>
        <w:jc w:val="both"/>
        <w:rPr>
          <w:rFonts w:ascii="Arial" w:hAnsi="Arial" w:cs="Arial"/>
          <w:sz w:val="22"/>
          <w:szCs w:val="22"/>
        </w:rPr>
      </w:pPr>
      <w:r w:rsidRPr="00974E6A">
        <w:rPr>
          <w:rFonts w:ascii="Arial" w:hAnsi="Arial" w:cs="Arial"/>
          <w:sz w:val="22"/>
          <w:szCs w:val="22"/>
          <w:lang w:val="sr-Cyrl-RS"/>
        </w:rPr>
        <w:t xml:space="preserve">Период трајања је посебна и изузетно значајна компонента овог пројекта. Иницијална анализа техно-економских параметара упућује да је оптимални период за трајање уговора са приватним партнером, након периода имплементације мера уштеде енергије, 15 година. Овај период се назива и периодом гарантовања. Овакав модел набавке услуге реконструкције осветљења обезбеђује јавном партнеру изузетно значајне </w:t>
      </w:r>
      <w:proofErr w:type="spellStart"/>
      <w:r w:rsidRPr="00974E6A">
        <w:rPr>
          <w:rFonts w:ascii="Arial" w:hAnsi="Arial" w:cs="Arial"/>
          <w:sz w:val="22"/>
          <w:szCs w:val="22"/>
          <w:lang w:val="sr-Cyrl-RS"/>
        </w:rPr>
        <w:t>бенефите</w:t>
      </w:r>
      <w:proofErr w:type="spellEnd"/>
      <w:r w:rsidRPr="00974E6A">
        <w:rPr>
          <w:rFonts w:ascii="Arial" w:hAnsi="Arial" w:cs="Arial"/>
          <w:sz w:val="22"/>
          <w:szCs w:val="22"/>
          <w:lang w:val="sr-Cyrl-RS"/>
        </w:rPr>
        <w:t xml:space="preserve">, јер осим уштеда, овај модел гарантује дугорочно обезбеђивање квалитета пружене енергетске услуге, у смислу гарантованог нивоа </w:t>
      </w:r>
      <w:proofErr w:type="spellStart"/>
      <w:r w:rsidRPr="00974E6A">
        <w:rPr>
          <w:rFonts w:ascii="Arial" w:hAnsi="Arial" w:cs="Arial"/>
          <w:sz w:val="22"/>
          <w:szCs w:val="22"/>
          <w:lang w:val="sr-Cyrl-RS"/>
        </w:rPr>
        <w:t>осветљености</w:t>
      </w:r>
      <w:proofErr w:type="spellEnd"/>
      <w:r w:rsidRPr="00974E6A">
        <w:rPr>
          <w:rFonts w:ascii="Arial" w:hAnsi="Arial" w:cs="Arial"/>
          <w:sz w:val="22"/>
          <w:szCs w:val="22"/>
          <w:lang w:val="sr-Cyrl-RS"/>
        </w:rPr>
        <w:t xml:space="preserve">, те гарантоване потпуне исправности система током целог периода уговора.  Уколико приватни партнер то не оствари, јавни партнер има на располагању читав низ средстава </w:t>
      </w:r>
      <w:proofErr w:type="spellStart"/>
      <w:r w:rsidRPr="00974E6A">
        <w:rPr>
          <w:rFonts w:ascii="Arial" w:hAnsi="Arial" w:cs="Arial"/>
          <w:sz w:val="22"/>
          <w:szCs w:val="22"/>
          <w:lang w:val="sr-Cyrl-RS"/>
        </w:rPr>
        <w:t>обезебеђења</w:t>
      </w:r>
      <w:proofErr w:type="spellEnd"/>
      <w:r w:rsidRPr="00974E6A">
        <w:rPr>
          <w:rFonts w:ascii="Arial" w:hAnsi="Arial" w:cs="Arial"/>
          <w:sz w:val="22"/>
          <w:szCs w:val="22"/>
          <w:lang w:val="sr-Cyrl-RS"/>
        </w:rPr>
        <w:t xml:space="preserve">, пре свега финансијских (активирање </w:t>
      </w:r>
      <w:proofErr w:type="spellStart"/>
      <w:r w:rsidRPr="00974E6A">
        <w:rPr>
          <w:rFonts w:ascii="Arial" w:hAnsi="Arial" w:cs="Arial"/>
          <w:sz w:val="22"/>
          <w:szCs w:val="22"/>
          <w:lang w:val="sr-Cyrl-RS"/>
        </w:rPr>
        <w:t>бакнарске</w:t>
      </w:r>
      <w:proofErr w:type="spellEnd"/>
      <w:r w:rsidRPr="00974E6A">
        <w:rPr>
          <w:rFonts w:ascii="Arial" w:hAnsi="Arial" w:cs="Arial"/>
          <w:sz w:val="22"/>
          <w:szCs w:val="22"/>
          <w:lang w:val="sr-Cyrl-RS"/>
        </w:rPr>
        <w:t xml:space="preserve"> гаранције, плаћање пенала и друга средства предвиђена уговором). Овако дефинисан период гарантовања и одржавања даје сигурност јавном партнеру, јер само партнери који су сигурни у квалитет своје опреме, знања, капацитета и способности реално, а не декларативно, могу на овај начин обезбедити гарантовање квалитета и дугогодишње одржавање система јавног осветљења. </w:t>
      </w:r>
    </w:p>
    <w:p w:rsidR="00E654D5" w:rsidRDefault="00E654D5" w:rsidP="00E654D5">
      <w:pPr>
        <w:widowControl/>
        <w:ind w:firstLine="708"/>
        <w:jc w:val="both"/>
        <w:rPr>
          <w:rFonts w:ascii="Arial" w:hAnsi="Arial" w:cs="Arial"/>
          <w:color w:val="000000"/>
          <w:kern w:val="0"/>
          <w:sz w:val="22"/>
          <w:szCs w:val="22"/>
          <w:lang w:val="sr-Cyrl-BA" w:eastAsia="en-US" w:bidi="ar-SA"/>
        </w:rPr>
      </w:pPr>
    </w:p>
    <w:p w:rsidR="00E654D5" w:rsidRDefault="00E654D5" w:rsidP="00E654D5">
      <w:pPr>
        <w:widowControl/>
        <w:ind w:firstLine="708"/>
        <w:jc w:val="both"/>
        <w:rPr>
          <w:rFonts w:ascii="Arial" w:hAnsi="Arial" w:cs="Arial"/>
          <w:color w:val="000000"/>
          <w:kern w:val="0"/>
          <w:sz w:val="22"/>
          <w:szCs w:val="22"/>
          <w:lang w:val="sr-Cyrl-BA" w:eastAsia="en-US" w:bidi="ar-SA"/>
        </w:rPr>
      </w:pPr>
    </w:p>
    <w:p w:rsidR="00E654D5" w:rsidRDefault="00E654D5" w:rsidP="00E654D5">
      <w:pPr>
        <w:widowControl/>
        <w:ind w:firstLine="708"/>
        <w:jc w:val="both"/>
        <w:rPr>
          <w:rFonts w:ascii="Arial" w:hAnsi="Arial" w:cs="Arial"/>
          <w:color w:val="000000"/>
          <w:kern w:val="0"/>
          <w:sz w:val="22"/>
          <w:szCs w:val="22"/>
          <w:lang w:val="sr-Cyrl-BA" w:eastAsia="en-US" w:bidi="ar-SA"/>
        </w:rPr>
      </w:pPr>
    </w:p>
    <w:p w:rsidR="00E654D5" w:rsidRDefault="00E654D5" w:rsidP="00E654D5">
      <w:pPr>
        <w:widowControl/>
        <w:ind w:firstLine="708"/>
        <w:jc w:val="both"/>
        <w:rPr>
          <w:rFonts w:ascii="Arial" w:hAnsi="Arial" w:cs="Arial"/>
          <w:color w:val="000000"/>
          <w:kern w:val="0"/>
          <w:sz w:val="22"/>
          <w:szCs w:val="22"/>
          <w:lang w:val="sr-Cyrl-BA" w:eastAsia="en-US" w:bidi="ar-SA"/>
        </w:rPr>
      </w:pPr>
    </w:p>
    <w:p w:rsidR="00E654D5" w:rsidRDefault="00E654D5" w:rsidP="00E654D5">
      <w:pPr>
        <w:widowControl/>
        <w:ind w:firstLine="708"/>
        <w:jc w:val="both"/>
        <w:rPr>
          <w:rFonts w:ascii="Arial" w:hAnsi="Arial" w:cs="Arial"/>
          <w:color w:val="000000"/>
          <w:kern w:val="0"/>
          <w:sz w:val="22"/>
          <w:szCs w:val="22"/>
          <w:lang w:val="sr-Cyrl-BA" w:eastAsia="en-US" w:bidi="ar-SA"/>
        </w:rPr>
      </w:pPr>
    </w:p>
    <w:p w:rsidR="00E654D5" w:rsidRPr="00F52FB1" w:rsidRDefault="00E654D5" w:rsidP="00E654D5">
      <w:pPr>
        <w:widowControl/>
        <w:ind w:firstLine="708"/>
        <w:jc w:val="both"/>
        <w:rPr>
          <w:rFonts w:ascii="Arial" w:hAnsi="Arial" w:cs="Arial"/>
          <w:color w:val="000000"/>
          <w:kern w:val="0"/>
          <w:sz w:val="22"/>
          <w:szCs w:val="22"/>
          <w:lang w:val="sr-Cyrl-BA" w:eastAsia="en-US" w:bidi="ar-SA"/>
        </w:rPr>
      </w:pPr>
    </w:p>
    <w:p w:rsidR="00E654D5" w:rsidRDefault="00E654D5" w:rsidP="00E654D5">
      <w:pPr>
        <w:jc w:val="center"/>
        <w:rPr>
          <w:rFonts w:ascii="Times New Roman" w:hAnsi="Times New Roman" w:cs="Times New Roman"/>
          <w:lang w:val="sr-Cyrl-RS"/>
        </w:rPr>
      </w:pPr>
      <w:r>
        <w:rPr>
          <w:rFonts w:ascii="Times New Roman" w:hAnsi="Times New Roman" w:cs="Times New Roman"/>
          <w:lang w:val="sr-Cyrl-RS"/>
        </w:rPr>
        <w:t>ГРАД НИШ</w:t>
      </w:r>
    </w:p>
    <w:p w:rsidR="00E654D5" w:rsidRDefault="00E654D5" w:rsidP="00E654D5">
      <w:pPr>
        <w:jc w:val="center"/>
        <w:rPr>
          <w:rFonts w:ascii="Times New Roman" w:hAnsi="Times New Roman" w:cs="Times New Roman"/>
          <w:lang w:val="sr-Cyrl-RS"/>
        </w:rPr>
      </w:pPr>
      <w:r>
        <w:rPr>
          <w:rFonts w:ascii="Times New Roman" w:hAnsi="Times New Roman" w:cs="Times New Roman"/>
          <w:lang w:val="sr-Cyrl-RS"/>
        </w:rPr>
        <w:t>ГРАДСКА УПРАВА ГРАДА НИША</w:t>
      </w:r>
    </w:p>
    <w:p w:rsidR="00E654D5" w:rsidRDefault="00E654D5" w:rsidP="00E654D5">
      <w:pPr>
        <w:jc w:val="center"/>
        <w:rPr>
          <w:rFonts w:ascii="Times New Roman" w:hAnsi="Times New Roman" w:cs="Times New Roman"/>
          <w:lang w:val="sr-Cyrl-RS"/>
        </w:rPr>
      </w:pPr>
      <w:r>
        <w:rPr>
          <w:rFonts w:ascii="Times New Roman" w:hAnsi="Times New Roman" w:cs="Times New Roman"/>
          <w:lang w:val="sr-Cyrl-RS"/>
        </w:rPr>
        <w:t>СЕКРЕТАРИЈАТ ЗА ИНВЕСТИЦИЈЕ</w:t>
      </w:r>
    </w:p>
    <w:p w:rsidR="00E654D5" w:rsidRDefault="00E654D5" w:rsidP="00E654D5">
      <w:pPr>
        <w:jc w:val="center"/>
        <w:rPr>
          <w:rFonts w:ascii="Times New Roman" w:hAnsi="Times New Roman" w:cs="Times New Roman"/>
          <w:lang w:val="sr-Cyrl-RS"/>
        </w:rPr>
      </w:pPr>
    </w:p>
    <w:p w:rsidR="00E654D5" w:rsidRDefault="00E654D5" w:rsidP="00E654D5">
      <w:pPr>
        <w:jc w:val="center"/>
        <w:rPr>
          <w:rFonts w:ascii="Times New Roman" w:hAnsi="Times New Roman" w:cs="Times New Roman"/>
          <w:lang w:val="sr-Cyrl-RS"/>
        </w:rPr>
      </w:pPr>
    </w:p>
    <w:p w:rsidR="00E654D5" w:rsidRDefault="00E654D5" w:rsidP="00E654D5">
      <w:pPr>
        <w:jc w:val="center"/>
        <w:rPr>
          <w:rFonts w:ascii="Times New Roman" w:hAnsi="Times New Roman" w:cs="Times New Roman"/>
          <w:lang w:val="sr-Cyrl-RS"/>
        </w:rPr>
      </w:pPr>
    </w:p>
    <w:p w:rsidR="00E654D5" w:rsidRDefault="00E654D5" w:rsidP="00E654D5">
      <w:pPr>
        <w:jc w:val="center"/>
        <w:rPr>
          <w:rFonts w:ascii="Times New Roman" w:hAnsi="Times New Roman" w:cs="Times New Roman"/>
          <w:lang w:val="sr-Cyrl-RS"/>
        </w:rPr>
      </w:pPr>
    </w:p>
    <w:p w:rsidR="00E654D5" w:rsidRDefault="00E654D5" w:rsidP="00E654D5">
      <w:pPr>
        <w:jc w:val="center"/>
        <w:rPr>
          <w:rFonts w:ascii="Times New Roman" w:hAnsi="Times New Roman" w:cs="Times New Roman"/>
          <w:lang w:val="sr-Cyrl-RS"/>
        </w:rPr>
      </w:pPr>
    </w:p>
    <w:p w:rsidR="00E654D5" w:rsidRDefault="00E654D5" w:rsidP="00E654D5">
      <w:pPr>
        <w:jc w:val="center"/>
        <w:rPr>
          <w:rFonts w:ascii="Times New Roman" w:hAnsi="Times New Roman" w:cs="Times New Roman"/>
          <w:lang w:val="sr-Cyrl-RS"/>
        </w:rPr>
      </w:pPr>
      <w:r>
        <w:rPr>
          <w:rFonts w:ascii="Times New Roman" w:hAnsi="Times New Roman" w:cs="Times New Roman"/>
          <w:lang w:val="sr-Cyrl-RS"/>
        </w:rPr>
        <w:t xml:space="preserve">                                                                                                                                     Секретар</w:t>
      </w:r>
    </w:p>
    <w:p w:rsidR="00E654D5" w:rsidRDefault="00E654D5" w:rsidP="00E654D5">
      <w:pPr>
        <w:jc w:val="center"/>
        <w:rPr>
          <w:rFonts w:ascii="Times New Roman" w:hAnsi="Times New Roman" w:cs="Times New Roman"/>
          <w:lang w:val="sr-Cyrl-RS"/>
        </w:rPr>
      </w:pPr>
    </w:p>
    <w:p w:rsidR="00E654D5" w:rsidRPr="00F52FB1" w:rsidRDefault="00E654D5" w:rsidP="00E654D5">
      <w:pPr>
        <w:jc w:val="right"/>
        <w:rPr>
          <w:rFonts w:ascii="Times New Roman" w:hAnsi="Times New Roman" w:cs="Times New Roman"/>
          <w:lang w:val="sr-Cyrl-RS"/>
        </w:rPr>
      </w:pPr>
      <w:proofErr w:type="spellStart"/>
      <w:r>
        <w:rPr>
          <w:rFonts w:ascii="Times New Roman" w:hAnsi="Times New Roman" w:cs="Times New Roman"/>
          <w:lang w:val="sr-Cyrl-RS"/>
        </w:rPr>
        <w:t>Ванча</w:t>
      </w:r>
      <w:proofErr w:type="spellEnd"/>
      <w:r>
        <w:rPr>
          <w:rFonts w:ascii="Times New Roman" w:hAnsi="Times New Roman" w:cs="Times New Roman"/>
          <w:lang w:val="sr-Cyrl-RS"/>
        </w:rPr>
        <w:t xml:space="preserve"> </w:t>
      </w:r>
      <w:proofErr w:type="spellStart"/>
      <w:r>
        <w:rPr>
          <w:rFonts w:ascii="Times New Roman" w:hAnsi="Times New Roman" w:cs="Times New Roman"/>
          <w:lang w:val="sr-Cyrl-RS"/>
        </w:rPr>
        <w:t>Димитров</w:t>
      </w:r>
      <w:proofErr w:type="spellEnd"/>
    </w:p>
    <w:p w:rsidR="001A6C5C" w:rsidRDefault="001A6C5C">
      <w:bookmarkStart w:id="0" w:name="_GoBack"/>
      <w:bookmarkEnd w:id="0"/>
    </w:p>
    <w:sectPr w:rsidR="001A6C5C">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D5"/>
    <w:rsid w:val="001A6C5C"/>
    <w:rsid w:val="00E65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D5"/>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D5"/>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Branko Stefanović</dc:creator>
  <cp:lastModifiedBy>Branko Stefanović</cp:lastModifiedBy>
  <cp:revision>1</cp:revision>
  <dcterms:created xsi:type="dcterms:W3CDTF">2018-12-21T07:44:00Z</dcterms:created>
  <dcterms:modified xsi:type="dcterms:W3CDTF">2018-12-21T07:44:00Z</dcterms:modified>
</cp:coreProperties>
</file>