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8D" w:rsidRDefault="00D6008D">
      <w:pPr>
        <w:suppressLineNumbers/>
        <w:spacing w:after="0" w:line="240" w:lineRule="auto"/>
        <w:jc w:val="center"/>
        <w:rPr>
          <w:rFonts w:ascii="Arial CYR" w:hAnsi="Arial CYR" w:cs="Arial CYR"/>
          <w:b/>
          <w:bCs/>
          <w:sz w:val="18"/>
          <w:szCs w:val="18"/>
        </w:rPr>
      </w:pPr>
    </w:p>
    <w:p w:rsidR="00D6008D" w:rsidRDefault="009E5A85">
      <w:pPr>
        <w:suppressLineNumbers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32.</w:t>
      </w:r>
      <w:proofErr w:type="gramEnd"/>
      <w:r w:rsidR="00A56E6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56E67" w:rsidRPr="00467640">
        <w:rPr>
          <w:rFonts w:ascii="Arial" w:eastAsia="Arial Unicode MS" w:hAnsi="Arial" w:cs="Arial"/>
          <w:lang w:val="sr-Cyrl-RS"/>
        </w:rPr>
        <w:t xml:space="preserve">став 1. тачка 6)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локалној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самоуправи</w:t>
      </w:r>
      <w:proofErr w:type="spellEnd"/>
      <w:r>
        <w:rPr>
          <w:rFonts w:ascii="Arial" w:hAnsi="Arial" w:cs="Arial"/>
          <w:sz w:val="24"/>
          <w:szCs w:val="24"/>
        </w:rPr>
        <w:t xml:space="preserve"> ("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гласник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  <w:r>
        <w:rPr>
          <w:rFonts w:ascii="Arial" w:hAnsi="Arial" w:cs="Arial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129/07, 83/14-и </w:t>
      </w: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закон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101/16 - и </w:t>
      </w: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закон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47/18 и 111/21 – </w:t>
      </w: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закон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 и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члана 37. став 1. тачка 7.)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 ("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88/08, 143/16 и 18/19),</w:t>
      </w:r>
    </w:p>
    <w:p w:rsidR="00D6008D" w:rsidRDefault="009E5A85">
      <w:pPr>
        <w:suppressLineNumbers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sr-Latn-RS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 xml:space="preserve">         2024.</w:t>
      </w:r>
      <w:proofErr w:type="gramEnd"/>
      <w:r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донела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</w:p>
    <w:p w:rsidR="00D6008D" w:rsidRDefault="00D6008D">
      <w:pPr>
        <w:suppressLineNumber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008D" w:rsidRDefault="00D6008D">
      <w:pPr>
        <w:suppressLineNumber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008D" w:rsidRDefault="00D6008D">
      <w:pPr>
        <w:suppressLineNumber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Д Л У К У</w:t>
      </w:r>
    </w:p>
    <w:p w:rsidR="00D6008D" w:rsidRDefault="009E5A85">
      <w:pPr>
        <w:suppressLineNumbers/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ПОВЕЋАЊУ ГОДИШЊЕ ЧЛАНАРИНЕ ГРАДА НИША НАМЕЊЕНЕ ЗА РАД И ПОСЛОВАЊЕ ДРУШТВА СА ОГРАНИЧЕНОМ ОДГОВОРНОШЋУ „РЕГИОНАЛНА РАЗВОЈНА АГЕНЦИЈА ЈУГ</w:t>
      </w:r>
      <w:proofErr w:type="gramStart"/>
      <w:r>
        <w:rPr>
          <w:rFonts w:ascii="Arial" w:hAnsi="Arial" w:cs="Arial"/>
          <w:b/>
          <w:sz w:val="24"/>
          <w:szCs w:val="24"/>
        </w:rPr>
        <w:t>“ ДОО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НИШ</w:t>
      </w:r>
    </w:p>
    <w:p w:rsidR="00D6008D" w:rsidRDefault="00D6008D">
      <w:pPr>
        <w:suppressLineNumber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008D" w:rsidRDefault="00D6008D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6008D" w:rsidRDefault="00D6008D">
      <w:pPr>
        <w:suppressLineNumber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Град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повећава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годишњу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чланарину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намењену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пословање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r>
        <w:rPr>
          <w:rFonts w:ascii="Arial" w:hAnsi="Arial" w:cs="Arial"/>
          <w:sz w:val="24"/>
          <w:szCs w:val="24"/>
        </w:rPr>
        <w:t xml:space="preserve">“ ДОО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сада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износи</w:t>
      </w:r>
      <w:proofErr w:type="spellEnd"/>
      <w:r>
        <w:rPr>
          <w:rFonts w:ascii="Arial" w:hAnsi="Arial" w:cs="Arial"/>
          <w:sz w:val="24"/>
          <w:szCs w:val="24"/>
        </w:rPr>
        <w:t xml:space="preserve"> 0,19%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укупно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остварених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пореских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претходној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008D" w:rsidRDefault="00D6008D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2.</w:t>
      </w:r>
      <w:proofErr w:type="gramEnd"/>
    </w:p>
    <w:p w:rsidR="00D6008D" w:rsidRDefault="00D6008D">
      <w:pPr>
        <w:suppressLineNumber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Овлашћује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Градоначелник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Града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Ниша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да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Cs/>
          <w:sz w:val="24"/>
          <w:szCs w:val="24"/>
        </w:rPr>
        <w:t>име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града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потпише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правне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акте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Cs/>
          <w:sz w:val="24"/>
          <w:szCs w:val="24"/>
        </w:rPr>
        <w:t>вези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повећањем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годишње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чланарине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коју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Град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Ниш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исплаћује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r>
        <w:rPr>
          <w:rFonts w:ascii="Arial" w:hAnsi="Arial" w:cs="Arial"/>
          <w:sz w:val="24"/>
          <w:szCs w:val="24"/>
        </w:rPr>
        <w:t xml:space="preserve">“ ДОО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D6008D" w:rsidRDefault="00D6008D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3.</w:t>
      </w:r>
      <w:proofErr w:type="gramEnd"/>
    </w:p>
    <w:p w:rsidR="00D6008D" w:rsidRDefault="00D6008D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ступа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снагу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осмог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објављивања</w:t>
      </w:r>
      <w:proofErr w:type="spellEnd"/>
      <w:r>
        <w:rPr>
          <w:rFonts w:ascii="Arial" w:hAnsi="Arial" w:cs="Arial"/>
          <w:sz w:val="24"/>
          <w:szCs w:val="24"/>
        </w:rPr>
        <w:t xml:space="preserve"> у "</w:t>
      </w:r>
      <w:proofErr w:type="spellStart"/>
      <w:r>
        <w:rPr>
          <w:rFonts w:ascii="Arial" w:hAnsi="Arial" w:cs="Arial"/>
          <w:sz w:val="24"/>
          <w:szCs w:val="24"/>
        </w:rPr>
        <w:t>Службеном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>".</w:t>
      </w:r>
      <w:proofErr w:type="gramEnd"/>
    </w:p>
    <w:p w:rsidR="00D6008D" w:rsidRDefault="00D6008D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08D" w:rsidRDefault="00D6008D">
      <w:pPr>
        <w:suppressLineNumbers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D6008D" w:rsidRDefault="009E5A85">
      <w:pPr>
        <w:suppressLineNumbers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Нишу</w:t>
      </w:r>
      <w:proofErr w:type="spellEnd"/>
      <w:r>
        <w:rPr>
          <w:rFonts w:ascii="Arial" w:hAnsi="Arial" w:cs="Arial"/>
          <w:sz w:val="24"/>
          <w:szCs w:val="24"/>
        </w:rPr>
        <w:t xml:space="preserve">, _____________      </w:t>
      </w:r>
    </w:p>
    <w:p w:rsidR="00D6008D" w:rsidRDefault="00D6008D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008D" w:rsidRDefault="00D6008D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D6008D" w:rsidRDefault="00D6008D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08D" w:rsidRDefault="00D6008D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ind w:left="2268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D6008D" w:rsidRDefault="00D6008D">
      <w:pPr>
        <w:suppressLineNumbers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</w:p>
    <w:p w:rsidR="00D6008D" w:rsidRDefault="00D6008D">
      <w:pPr>
        <w:suppressLineNumbers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</w:p>
    <w:p w:rsidR="00D6008D" w:rsidRDefault="009E5A85">
      <w:pPr>
        <w:suppressLineNumbers/>
        <w:spacing w:after="0" w:line="240" w:lineRule="auto"/>
        <w:ind w:firstLine="53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Проф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Игор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Новаковић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008D" w:rsidRDefault="00D600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008D" w:rsidRDefault="00D6008D">
      <w:pPr>
        <w:rPr>
          <w:rFonts w:ascii="Arial" w:hAnsi="Arial" w:cs="Arial"/>
          <w:sz w:val="24"/>
          <w:szCs w:val="24"/>
        </w:rPr>
      </w:pPr>
    </w:p>
    <w:p w:rsidR="00D6008D" w:rsidRDefault="009E5A8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б р а з л о ж е њ е</w:t>
      </w:r>
    </w:p>
    <w:p w:rsidR="00D6008D" w:rsidRDefault="00D6008D">
      <w:pPr>
        <w:jc w:val="center"/>
        <w:rPr>
          <w:rFonts w:ascii="Arial" w:hAnsi="Arial" w:cs="Arial"/>
          <w:b/>
        </w:rPr>
      </w:pPr>
    </w:p>
    <w:p w:rsidR="00D6008D" w:rsidRDefault="009E5A85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Одлуком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оснивању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Регионалне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Нишавског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Пиротског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Топличког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округа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18.12.2</w:t>
      </w:r>
      <w:r>
        <w:rPr>
          <w:rFonts w:ascii="Arial" w:hAnsi="Arial" w:cs="Arial"/>
          <w:sz w:val="24"/>
          <w:szCs w:val="24"/>
          <w:lang w:val="sr-Latn-RS"/>
        </w:rPr>
        <w:t>00</w:t>
      </w:r>
      <w:r>
        <w:rPr>
          <w:rFonts w:ascii="Arial" w:hAnsi="Arial" w:cs="Arial"/>
          <w:sz w:val="24"/>
          <w:szCs w:val="24"/>
        </w:rPr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sr-Latn-RS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87/2007) </w:t>
      </w:r>
      <w:proofErr w:type="spellStart"/>
      <w:r>
        <w:rPr>
          <w:rFonts w:ascii="Arial" w:hAnsi="Arial" w:cs="Arial"/>
          <w:sz w:val="24"/>
          <w:szCs w:val="24"/>
        </w:rPr>
        <w:t>приступила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оснивању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r>
        <w:rPr>
          <w:rFonts w:ascii="Arial" w:hAnsi="Arial" w:cs="Arial"/>
          <w:sz w:val="24"/>
          <w:szCs w:val="24"/>
        </w:rPr>
        <w:t>“.</w:t>
      </w:r>
    </w:p>
    <w:p w:rsidR="00D6008D" w:rsidRDefault="009E5A85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Уговором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оснивању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Обласна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“ 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25.0</w:t>
      </w:r>
      <w:r>
        <w:rPr>
          <w:rFonts w:ascii="Arial" w:hAnsi="Arial" w:cs="Arial"/>
          <w:sz w:val="24"/>
          <w:szCs w:val="24"/>
          <w:lang w:val="sr-Latn-RS"/>
        </w:rPr>
        <w:t>6</w:t>
      </w:r>
      <w:r>
        <w:rPr>
          <w:rFonts w:ascii="Arial" w:hAnsi="Arial" w:cs="Arial"/>
          <w:sz w:val="24"/>
          <w:szCs w:val="24"/>
        </w:rPr>
        <w:t xml:space="preserve">.2009.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) и </w:t>
      </w:r>
      <w:proofErr w:type="spellStart"/>
      <w:r>
        <w:rPr>
          <w:rFonts w:ascii="Arial" w:hAnsi="Arial" w:cs="Arial"/>
          <w:sz w:val="24"/>
          <w:szCs w:val="24"/>
        </w:rPr>
        <w:t>Уговором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оснивању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03-057/12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31.01.2012.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Latn-R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којим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замењен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Уговор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25.06.2009.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основано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r>
        <w:rPr>
          <w:rFonts w:ascii="Arial" w:hAnsi="Arial" w:cs="Arial"/>
          <w:sz w:val="24"/>
          <w:szCs w:val="24"/>
        </w:rPr>
        <w:t xml:space="preserve">“ ДОО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008D" w:rsidRDefault="009E5A85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Друштво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тренутно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свом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саставу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 xml:space="preserve"> 21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sz w:val="24"/>
          <w:szCs w:val="24"/>
        </w:rPr>
        <w:t>лок</w:t>
      </w:r>
      <w:proofErr w:type="spellEnd"/>
      <w:r>
        <w:rPr>
          <w:rFonts w:ascii="Arial" w:hAnsi="Arial" w:cs="Arial"/>
          <w:sz w:val="24"/>
          <w:szCs w:val="24"/>
          <w:lang w:val="sr-Latn-RS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лних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самоуправа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D6008D" w:rsidRDefault="009E5A85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Град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Друштво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r>
        <w:rPr>
          <w:rFonts w:ascii="Arial" w:hAnsi="Arial" w:cs="Arial"/>
          <w:sz w:val="24"/>
          <w:szCs w:val="24"/>
        </w:rPr>
        <w:t xml:space="preserve">“ ДОО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потписали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Уговор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уређењу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међусобних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обавеза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04-021/17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27.02.2017.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Анекс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уговора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4657/2019-01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27.11.2019.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) и </w:t>
      </w:r>
      <w:proofErr w:type="spellStart"/>
      <w:r>
        <w:rPr>
          <w:rFonts w:ascii="Arial" w:hAnsi="Arial" w:cs="Arial"/>
          <w:sz w:val="24"/>
          <w:szCs w:val="24"/>
        </w:rPr>
        <w:t>Анекс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уговора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04-307/22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30.11.2022.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којим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предвиђено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један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оснивача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обавезан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исплаћује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годишњу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чланарину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намењену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обезбеђивању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пословање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агенције</w:t>
      </w:r>
      <w:proofErr w:type="spellEnd"/>
      <w:r>
        <w:rPr>
          <w:rFonts w:ascii="Arial" w:hAnsi="Arial" w:cs="Arial"/>
          <w:sz w:val="24"/>
          <w:szCs w:val="24"/>
        </w:rPr>
        <w:t xml:space="preserve"> ЈУГ“ у </w:t>
      </w:r>
      <w:proofErr w:type="spellStart"/>
      <w:r>
        <w:rPr>
          <w:rFonts w:ascii="Arial" w:hAnsi="Arial" w:cs="Arial"/>
          <w:sz w:val="24"/>
          <w:szCs w:val="24"/>
        </w:rPr>
        <w:t>износу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0,1%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укупно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остварених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пореских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претходној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Будући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минимални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чланарине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обезбеђује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довољна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несметано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функционисање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Друштва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r>
        <w:rPr>
          <w:rFonts w:ascii="Arial" w:hAnsi="Arial" w:cs="Arial"/>
          <w:sz w:val="24"/>
          <w:szCs w:val="24"/>
        </w:rPr>
        <w:t xml:space="preserve">“ ДОО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поменуто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обратило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иницијативом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повећање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чланарине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финансира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4312-01/2024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18.12.2024.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D6008D" w:rsidRDefault="009E5A8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Град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измирио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2024.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годину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износу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10.898.057,02 </w:t>
      </w:r>
      <w:proofErr w:type="spellStart"/>
      <w:r>
        <w:rPr>
          <w:rFonts w:ascii="Arial" w:hAnsi="Arial" w:cs="Arial"/>
          <w:sz w:val="24"/>
          <w:szCs w:val="24"/>
        </w:rPr>
        <w:t>динара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008D" w:rsidRDefault="009E5A85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Град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одлучио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повећа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годишњу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чланарину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намењену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пословање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r>
        <w:rPr>
          <w:rFonts w:ascii="Arial" w:hAnsi="Arial" w:cs="Arial"/>
          <w:sz w:val="24"/>
          <w:szCs w:val="24"/>
        </w:rPr>
        <w:t xml:space="preserve">“ ДОО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износи</w:t>
      </w:r>
      <w:proofErr w:type="spellEnd"/>
      <w:r>
        <w:rPr>
          <w:rFonts w:ascii="Arial" w:hAnsi="Arial" w:cs="Arial"/>
          <w:sz w:val="24"/>
          <w:szCs w:val="24"/>
        </w:rPr>
        <w:t xml:space="preserve"> 0,19%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укупно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остварених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пореских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претходној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омогућити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r>
        <w:rPr>
          <w:rFonts w:ascii="Arial" w:hAnsi="Arial" w:cs="Arial"/>
          <w:sz w:val="24"/>
          <w:szCs w:val="24"/>
        </w:rPr>
        <w:t xml:space="preserve">“ ДОО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несметано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функционише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учествује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изради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стратешких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развојних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докумената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јачању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регионалне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сарадње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умрежавању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пружању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подршке</w:t>
      </w:r>
      <w:proofErr w:type="spellEnd"/>
      <w:r>
        <w:rPr>
          <w:rFonts w:ascii="Arial" w:hAnsi="Arial" w:cs="Arial"/>
          <w:sz w:val="24"/>
          <w:szCs w:val="24"/>
        </w:rPr>
        <w:t xml:space="preserve"> ММСП </w:t>
      </w:r>
      <w:proofErr w:type="spellStart"/>
      <w:r>
        <w:rPr>
          <w:rFonts w:ascii="Arial" w:hAnsi="Arial" w:cs="Arial"/>
          <w:sz w:val="24"/>
          <w:szCs w:val="24"/>
        </w:rPr>
        <w:t>сектору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предузетништву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пружању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подршке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почетницима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пословању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итд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008D" w:rsidRDefault="009E5A85">
      <w:pPr>
        <w:spacing w:after="0"/>
        <w:ind w:firstLine="720"/>
        <w:jc w:val="both"/>
        <w:rPr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Средства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плаћање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годишње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чланарине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“ ДОО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2025.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годину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у </w:t>
      </w:r>
      <w:proofErr w:type="spellStart"/>
      <w:r>
        <w:rPr>
          <w:rFonts w:ascii="Arial" w:hAnsi="Arial" w:cs="Arial"/>
          <w:sz w:val="24"/>
          <w:szCs w:val="24"/>
        </w:rPr>
        <w:t>износу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23.000.000,00 </w:t>
      </w:r>
      <w:proofErr w:type="spellStart"/>
      <w:r>
        <w:rPr>
          <w:rFonts w:ascii="Arial" w:hAnsi="Arial" w:cs="Arial"/>
          <w:sz w:val="24"/>
          <w:szCs w:val="24"/>
        </w:rPr>
        <w:t>динара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обезбеђена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Канцеларије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локални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економски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позицији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A5258">
        <w:rPr>
          <w:rFonts w:ascii="Arial" w:hAnsi="Arial" w:cs="Arial"/>
          <w:sz w:val="24"/>
          <w:szCs w:val="24"/>
        </w:rPr>
        <w:t>403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економска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класификација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  <w:r w:rsidR="007A5258">
        <w:rPr>
          <w:rFonts w:ascii="Arial" w:hAnsi="Arial" w:cs="Arial"/>
          <w:sz w:val="24"/>
          <w:szCs w:val="24"/>
          <w:lang w:val="sr-Latn-RS"/>
        </w:rPr>
        <w:t>51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Субвенције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нефинансијским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предузећ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организацијама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6008D" w:rsidRDefault="009E5A85">
      <w:pPr>
        <w:suppressLineNumbers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основу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горе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наведених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разлога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предлаже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Скупштини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Града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Ниша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донесе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Одлуку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sz w:val="24"/>
          <w:szCs w:val="24"/>
        </w:rPr>
        <w:t>повећању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годишње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чланарине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намењене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пословање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Регионална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Југ</w:t>
      </w:r>
      <w:proofErr w:type="spellEnd"/>
      <w:r>
        <w:rPr>
          <w:rFonts w:ascii="Arial" w:hAnsi="Arial" w:cs="Arial"/>
          <w:sz w:val="24"/>
          <w:szCs w:val="24"/>
        </w:rPr>
        <w:t xml:space="preserve">“ ДОО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сада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износи</w:t>
      </w:r>
      <w:proofErr w:type="spellEnd"/>
      <w:r>
        <w:rPr>
          <w:rFonts w:ascii="Arial" w:hAnsi="Arial" w:cs="Arial"/>
          <w:sz w:val="24"/>
          <w:szCs w:val="24"/>
        </w:rPr>
        <w:t xml:space="preserve"> 0,19%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укупно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остварених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пореских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претходној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008D" w:rsidRDefault="00D6008D">
      <w:pPr>
        <w:suppressLineNumbers/>
        <w:spacing w:after="0" w:line="240" w:lineRule="auto"/>
        <w:ind w:firstLine="720"/>
        <w:jc w:val="both"/>
        <w:rPr>
          <w:rFonts w:ascii="Arial" w:hAnsi="Arial" w:cs="Arial"/>
        </w:rPr>
      </w:pPr>
    </w:p>
    <w:p w:rsidR="00D6008D" w:rsidRDefault="00D6008D">
      <w:pPr>
        <w:suppressLineNumbers/>
        <w:spacing w:after="0" w:line="240" w:lineRule="auto"/>
        <w:ind w:firstLine="720"/>
        <w:jc w:val="both"/>
        <w:rPr>
          <w:rFonts w:ascii="Arial" w:hAnsi="Arial" w:cs="Arial"/>
        </w:rPr>
      </w:pPr>
    </w:p>
    <w:p w:rsidR="00D6008D" w:rsidRDefault="009E5A85">
      <w:pPr>
        <w:pStyle w:val="NoSpacing"/>
        <w:ind w:firstLine="510"/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    </w:t>
      </w:r>
    </w:p>
    <w:p w:rsidR="00D6008D" w:rsidRDefault="009E5A85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Канцеларијa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локални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економски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6008D" w:rsidRDefault="009E5A85">
      <w:pPr>
        <w:ind w:left="720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ДИРЕКТОР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D6008D" w:rsidRDefault="009E5A85">
      <w:pPr>
        <w:ind w:left="720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Драгана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Ненадов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Станковић</w:t>
      </w:r>
      <w:proofErr w:type="spellEnd"/>
    </w:p>
    <w:sectPr w:rsidR="00D6008D">
      <w:pgSz w:w="12240" w:h="15840"/>
      <w:pgMar w:top="1417" w:right="1417" w:bottom="1417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8D"/>
    <w:rsid w:val="007A5258"/>
    <w:rsid w:val="009E5A85"/>
    <w:rsid w:val="00A56E67"/>
    <w:rsid w:val="00D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55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5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Ilić</dc:creator>
  <dc:description/>
  <cp:lastModifiedBy>Violeta Tesla</cp:lastModifiedBy>
  <cp:revision>69</cp:revision>
  <cp:lastPrinted>2024-12-24T10:25:00Z</cp:lastPrinted>
  <dcterms:created xsi:type="dcterms:W3CDTF">2021-05-14T10:38:00Z</dcterms:created>
  <dcterms:modified xsi:type="dcterms:W3CDTF">2024-12-24T10:27:00Z</dcterms:modified>
  <dc:language>en-US</dc:language>
</cp:coreProperties>
</file>